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0823A" w14:textId="0D544D1B"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C364B">
        <w:t>53485</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334EDEED" w14:textId="77777777" w:rsidTr="00E710D3">
        <w:trPr>
          <w:trHeight w:val="576"/>
        </w:trPr>
        <w:tc>
          <w:tcPr>
            <w:tcW w:w="4826" w:type="dxa"/>
          </w:tcPr>
          <w:bookmarkStart w:id="2" w:name="DocumentStyle"/>
          <w:p w14:paraId="7940E460" w14:textId="6887ECA8" w:rsidR="00E710D3" w:rsidRPr="00E710D3" w:rsidRDefault="00D728E4" w:rsidP="00912358">
            <w:pPr>
              <w:spacing w:after="0" w:line="240" w:lineRule="auto"/>
              <w:ind w:firstLine="0"/>
              <w:jc w:val="left"/>
              <w:rPr>
                <w:b/>
                <w:szCs w:val="20"/>
              </w:rPr>
            </w:pPr>
            <w:sdt>
              <w:sdtPr>
                <w:rPr>
                  <w:b/>
                  <w:caps/>
                  <w:szCs w:val="20"/>
                </w:rPr>
                <w:alias w:val="Case Style"/>
                <w:tag w:val="CS"/>
                <w:id w:val="-920102863"/>
                <w:placeholder>
                  <w:docPart w:val="E053FEC0D1C34B40838726410B2F530F"/>
                </w:placeholder>
                <w15:appearance w15:val="hidden"/>
              </w:sdtPr>
              <w:sdtEndPr/>
              <w:sdtContent>
                <w:r w:rsidR="006C364B">
                  <w:rPr>
                    <w:b/>
                    <w:caps/>
                    <w:szCs w:val="20"/>
                  </w:rPr>
                  <w:t>APPLICATION OF GIDEON WATER LLC FOR A CERTIFICATE OF CONVENIENCE AND NECESSITY IN MONTGOMERY COUNTY</w:t>
                </w:r>
              </w:sdtContent>
            </w:sdt>
            <w:bookmarkEnd w:id="2"/>
            <w:r w:rsidR="00912358">
              <w:rPr>
                <w:b/>
                <w:caps/>
                <w:szCs w:val="20"/>
              </w:rPr>
              <w:t xml:space="preserve"> </w:t>
            </w:r>
          </w:p>
        </w:tc>
        <w:tc>
          <w:tcPr>
            <w:tcW w:w="336" w:type="dxa"/>
            <w:noWrap/>
          </w:tcPr>
          <w:p w14:paraId="2938D630" w14:textId="77777777" w:rsidR="006C364B" w:rsidRDefault="006C364B" w:rsidP="008647EB">
            <w:pPr>
              <w:spacing w:after="0" w:line="240" w:lineRule="auto"/>
              <w:ind w:firstLine="0"/>
              <w:rPr>
                <w:b/>
                <w:szCs w:val="20"/>
              </w:rPr>
            </w:pPr>
            <w:r>
              <w:rPr>
                <w:b/>
                <w:szCs w:val="20"/>
              </w:rPr>
              <w:t>§</w:t>
            </w:r>
          </w:p>
          <w:p w14:paraId="649D48A2" w14:textId="77777777" w:rsidR="006C364B" w:rsidRDefault="006C364B" w:rsidP="008647EB">
            <w:pPr>
              <w:spacing w:after="0" w:line="240" w:lineRule="auto"/>
              <w:ind w:firstLine="0"/>
              <w:rPr>
                <w:b/>
                <w:szCs w:val="20"/>
              </w:rPr>
            </w:pPr>
            <w:r>
              <w:rPr>
                <w:b/>
                <w:szCs w:val="20"/>
              </w:rPr>
              <w:t>§</w:t>
            </w:r>
          </w:p>
          <w:p w14:paraId="51FAC999" w14:textId="77777777" w:rsidR="006C364B" w:rsidRDefault="006C364B" w:rsidP="008647EB">
            <w:pPr>
              <w:spacing w:after="0" w:line="240" w:lineRule="auto"/>
              <w:ind w:firstLine="0"/>
              <w:rPr>
                <w:b/>
                <w:szCs w:val="20"/>
              </w:rPr>
            </w:pPr>
            <w:r>
              <w:rPr>
                <w:b/>
                <w:szCs w:val="20"/>
              </w:rPr>
              <w:t>§</w:t>
            </w:r>
          </w:p>
          <w:p w14:paraId="6F8B710D" w14:textId="1D14DBEF" w:rsidR="00DA790F" w:rsidRPr="008647EB" w:rsidRDefault="006C364B" w:rsidP="008647EB">
            <w:pPr>
              <w:spacing w:after="0" w:line="240" w:lineRule="auto"/>
              <w:ind w:firstLine="0"/>
              <w:rPr>
                <w:b/>
                <w:szCs w:val="20"/>
              </w:rPr>
            </w:pPr>
            <w:r>
              <w:rPr>
                <w:b/>
                <w:szCs w:val="20"/>
              </w:rPr>
              <w:t>§</w:t>
            </w:r>
          </w:p>
        </w:tc>
        <w:tc>
          <w:tcPr>
            <w:tcW w:w="4198" w:type="dxa"/>
          </w:tcPr>
          <w:p w14:paraId="537CFAA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A9C1E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780627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3CB068E" w14:textId="77777777" w:rsidR="00DA790F" w:rsidRPr="008647EB" w:rsidRDefault="00DA790F" w:rsidP="008647EB">
      <w:pPr>
        <w:spacing w:after="0" w:line="240" w:lineRule="auto"/>
        <w:ind w:firstLine="0"/>
        <w:jc w:val="center"/>
        <w:rPr>
          <w:b/>
          <w:caps/>
        </w:rPr>
      </w:pPr>
    </w:p>
    <w:p w14:paraId="4EC77B55" w14:textId="59ADB5CC" w:rsidR="007C1C19" w:rsidRPr="008647EB" w:rsidRDefault="006C364B" w:rsidP="007C1C19">
      <w:pPr>
        <w:spacing w:after="0" w:line="240" w:lineRule="auto"/>
        <w:ind w:firstLine="0"/>
        <w:jc w:val="center"/>
        <w:rPr>
          <w:b/>
          <w:caps/>
        </w:rPr>
      </w:pPr>
      <w:r>
        <w:rPr>
          <w:b/>
          <w:caps/>
        </w:rPr>
        <w:t xml:space="preserve">JOINT MOTION FOR </w:t>
      </w:r>
      <w:r w:rsidR="00642894">
        <w:rPr>
          <w:b/>
          <w:caps/>
        </w:rPr>
        <w:t>order</w:t>
      </w:r>
      <w:r>
        <w:rPr>
          <w:b/>
          <w:caps/>
        </w:rPr>
        <w:t xml:space="preserve"> </w:t>
      </w:r>
      <w:r w:rsidRPr="00510796">
        <w:rPr>
          <w:b/>
          <w:i/>
          <w:iCs/>
          <w:caps/>
        </w:rPr>
        <w:t>NUNC PRO TUNC</w:t>
      </w:r>
      <w:r w:rsidR="00642894">
        <w:rPr>
          <w:b/>
          <w:caps/>
        </w:rPr>
        <w:t xml:space="preserve"> </w:t>
      </w:r>
      <w:r w:rsidR="00510796">
        <w:rPr>
          <w:b/>
          <w:caps/>
        </w:rPr>
        <w:t>or</w:t>
      </w:r>
      <w:r w:rsidR="00642894">
        <w:rPr>
          <w:b/>
          <w:caps/>
        </w:rPr>
        <w:t>,</w:t>
      </w:r>
      <w:r w:rsidR="00510796">
        <w:rPr>
          <w:b/>
          <w:caps/>
        </w:rPr>
        <w:t xml:space="preserve"> Alternatively, </w:t>
      </w:r>
      <w:r w:rsidR="007872F6">
        <w:rPr>
          <w:b/>
          <w:caps/>
        </w:rPr>
        <w:t>TO REOPEN THE RECORD</w:t>
      </w:r>
    </w:p>
    <w:p w14:paraId="55D34E8F" w14:textId="77777777" w:rsidR="007C1C19" w:rsidRPr="008647EB" w:rsidRDefault="007C1C19" w:rsidP="007C1C19">
      <w:pPr>
        <w:pStyle w:val="CaseCaption"/>
        <w:spacing w:after="0"/>
        <w:contextualSpacing w:val="0"/>
      </w:pPr>
    </w:p>
    <w:p w14:paraId="3ABF46BD" w14:textId="38DB9A56" w:rsidR="009129C2" w:rsidRDefault="009129C2" w:rsidP="009129C2">
      <w:pPr>
        <w:pStyle w:val="Heading1"/>
        <w:tabs>
          <w:tab w:val="clear" w:pos="1440"/>
        </w:tabs>
        <w:spacing w:before="0" w:after="0" w:line="360" w:lineRule="auto"/>
        <w:ind w:left="0" w:right="0"/>
      </w:pPr>
      <w:r>
        <w:t>INTRODUCTION</w:t>
      </w:r>
    </w:p>
    <w:p w14:paraId="1665371B" w14:textId="4E862EEB" w:rsidR="009129C2" w:rsidRDefault="009129C2" w:rsidP="009129C2">
      <w:pPr>
        <w:pStyle w:val="Paragraph"/>
      </w:pPr>
      <w:r>
        <w:t xml:space="preserve">The Public Utility Commission of Texas (Commission) has the authority to either issue an Order </w:t>
      </w:r>
      <w:r>
        <w:rPr>
          <w:i/>
          <w:iCs/>
        </w:rPr>
        <w:t xml:space="preserve">Nunc Pro Tunc </w:t>
      </w:r>
      <w:r>
        <w:t xml:space="preserve">or grant a motion </w:t>
      </w:r>
      <w:r w:rsidR="0020396D">
        <w:t xml:space="preserve">to reopen the record </w:t>
      </w:r>
      <w:r>
        <w:t xml:space="preserve">so that the rates in the water tariff approved for Gideon Water LLC (Gideon Water) are consistent with Gideon Water’s application, Commission Staff’s (Staff) recommendation on Gideon Water’s application, and the Commission’s Notice of Approval that effectively rendered a judgment approving Gideon Water’s application, </w:t>
      </w:r>
      <w:r w:rsidR="001F4AC5">
        <w:t>including Gideon Water’s proposed rates</w:t>
      </w:r>
      <w:r w:rsidR="002D4D18">
        <w:t>, as originally filed</w:t>
      </w:r>
      <w:r>
        <w:t>.</w:t>
      </w:r>
    </w:p>
    <w:p w14:paraId="2A05DB05" w14:textId="44268FBE" w:rsidR="009129C2" w:rsidRPr="009129C2" w:rsidRDefault="009129C2" w:rsidP="009129C2">
      <w:pPr>
        <w:pStyle w:val="Paragraph"/>
      </w:pPr>
      <w:r>
        <w:t xml:space="preserve"> </w:t>
      </w:r>
    </w:p>
    <w:p w14:paraId="4F80E71C" w14:textId="45B72244" w:rsidR="009129C2" w:rsidRDefault="009129C2" w:rsidP="009129C2">
      <w:pPr>
        <w:pStyle w:val="Heading1"/>
        <w:tabs>
          <w:tab w:val="clear" w:pos="1440"/>
        </w:tabs>
        <w:spacing w:before="0" w:after="0" w:line="360" w:lineRule="auto"/>
        <w:ind w:left="0" w:right="0"/>
      </w:pPr>
      <w:r>
        <w:t>BACKGROUND</w:t>
      </w:r>
    </w:p>
    <w:p w14:paraId="2679A642" w14:textId="014154FD" w:rsidR="007C1C19" w:rsidRDefault="00902872" w:rsidP="007C1C19">
      <w:pPr>
        <w:pStyle w:val="Paragraph"/>
        <w:tabs>
          <w:tab w:val="left" w:pos="4680"/>
        </w:tabs>
        <w:rPr>
          <w:iCs/>
        </w:rPr>
      </w:pPr>
      <w:r>
        <w:rPr>
          <w:iCs/>
        </w:rPr>
        <w:t xml:space="preserve">On April 12, 2022, Gideon Water LLC (Gideon Water) filed an application to obtain a water certificate of convenience and necessity </w:t>
      </w:r>
      <w:r w:rsidR="00BF579B">
        <w:rPr>
          <w:iCs/>
        </w:rPr>
        <w:t xml:space="preserve">(CCN) </w:t>
      </w:r>
      <w:r>
        <w:rPr>
          <w:iCs/>
        </w:rPr>
        <w:t xml:space="preserve">in Montgomery County. </w:t>
      </w:r>
    </w:p>
    <w:p w14:paraId="384E5A2D" w14:textId="1E99272D" w:rsidR="009129C2" w:rsidRDefault="007C1C19" w:rsidP="007C1C19">
      <w:pPr>
        <w:pStyle w:val="Paragraph"/>
      </w:pPr>
      <w:r>
        <w:rPr>
          <w:iCs/>
        </w:rPr>
        <w:t xml:space="preserve">On </w:t>
      </w:r>
      <w:r w:rsidR="00902872">
        <w:rPr>
          <w:iCs/>
        </w:rPr>
        <w:t>July 31, 2023</w:t>
      </w:r>
      <w:r>
        <w:rPr>
          <w:iCs/>
        </w:rPr>
        <w:t xml:space="preserve">, the administrative law judge </w:t>
      </w:r>
      <w:r w:rsidR="00902872">
        <w:rPr>
          <w:iCs/>
        </w:rPr>
        <w:t xml:space="preserve">(ALJ) </w:t>
      </w:r>
      <w:r>
        <w:rPr>
          <w:iCs/>
        </w:rPr>
        <w:t xml:space="preserve">filed </w:t>
      </w:r>
      <w:r w:rsidR="00E15ED5">
        <w:rPr>
          <w:iCs/>
        </w:rPr>
        <w:t>a Notice of Approval</w:t>
      </w:r>
      <w:r w:rsidR="00E15ED5">
        <w:t xml:space="preserve">, approving </w:t>
      </w:r>
      <w:r w:rsidR="00BF579B">
        <w:t xml:space="preserve">Gideon Water’s application and issuing Gideon Water CCN No. 13304. The ALJ also approved a tariff </w:t>
      </w:r>
      <w:r w:rsidR="001276F3">
        <w:t xml:space="preserve">that </w:t>
      </w:r>
      <w:r w:rsidR="00BF579B">
        <w:t xml:space="preserve">relevantly </w:t>
      </w:r>
      <w:r w:rsidR="00510796">
        <w:t xml:space="preserve">1) </w:t>
      </w:r>
      <w:r w:rsidR="001276F3">
        <w:t xml:space="preserve">states that 10,000 gallons of water is included for all meter sizes and </w:t>
      </w:r>
      <w:r w:rsidR="00510796">
        <w:t xml:space="preserve">2) </w:t>
      </w:r>
      <w:r w:rsidR="001276F3">
        <w:t xml:space="preserve">does not include </w:t>
      </w:r>
      <w:r w:rsidR="00E560FF">
        <w:t xml:space="preserve">a </w:t>
      </w:r>
      <w:r w:rsidR="001276F3">
        <w:t xml:space="preserve">pass-through </w:t>
      </w:r>
      <w:r w:rsidR="00E560FF">
        <w:t>provision</w:t>
      </w:r>
      <w:r w:rsidR="001276F3">
        <w:t>.</w:t>
      </w:r>
      <w:r w:rsidR="00BF579B">
        <w:t xml:space="preserve"> </w:t>
      </w:r>
      <w:r w:rsidR="00C44E0C">
        <w:t xml:space="preserve">On October 25, 2023, Gideon Water filed a request for reconsideration of the tariff that was </w:t>
      </w:r>
      <w:r w:rsidR="00510796">
        <w:t>approved</w:t>
      </w:r>
      <w:r w:rsidR="00C44E0C">
        <w:t xml:space="preserve"> to </w:t>
      </w:r>
      <w:r w:rsidR="00510796">
        <w:t xml:space="preserve">1) </w:t>
      </w:r>
      <w:r w:rsidR="00C44E0C">
        <w:t xml:space="preserve">remove the language stating that 10,000 gallons of water is included for all meter sizes and </w:t>
      </w:r>
      <w:r w:rsidR="00510796">
        <w:t xml:space="preserve">2) </w:t>
      </w:r>
      <w:r w:rsidR="00C44E0C">
        <w:t xml:space="preserve">include language for </w:t>
      </w:r>
      <w:r w:rsidR="00E560FF">
        <w:t>a</w:t>
      </w:r>
      <w:r w:rsidR="00C44E0C">
        <w:t xml:space="preserve"> pass-through </w:t>
      </w:r>
      <w:r w:rsidR="00E560FF">
        <w:t>provision</w:t>
      </w:r>
      <w:r w:rsidR="00C44E0C">
        <w:t>. On October 30, 2023, the ALJ denied the request for reconsideration</w:t>
      </w:r>
      <w:r w:rsidR="002D4D18">
        <w:t>.</w:t>
      </w:r>
      <w:r w:rsidR="00C44E0C">
        <w:t xml:space="preserve"> </w:t>
      </w:r>
    </w:p>
    <w:p w14:paraId="23EBF171" w14:textId="16B653ED" w:rsidR="007C1C19" w:rsidRDefault="00510796" w:rsidP="007C1C19">
      <w:pPr>
        <w:pStyle w:val="Paragraph"/>
      </w:pPr>
      <w:r>
        <w:t xml:space="preserve">Pursuant to Texas Rule of Civil Procedure 316, Gideon Water and Staff (collectively, the Parties) file this motion for </w:t>
      </w:r>
      <w:r w:rsidR="00642894">
        <w:t>a</w:t>
      </w:r>
      <w:r w:rsidR="00D3180F">
        <w:t>n Order</w:t>
      </w:r>
      <w:r>
        <w:t xml:space="preserve"> </w:t>
      </w:r>
      <w:r>
        <w:rPr>
          <w:i/>
          <w:iCs/>
        </w:rPr>
        <w:t>Nunc Pro Tunc</w:t>
      </w:r>
      <w:r w:rsidR="00EA36EC">
        <w:t xml:space="preserve"> to approve the attached corrected tariff</w:t>
      </w:r>
      <w:r>
        <w:t>. Alternatively</w:t>
      </w:r>
      <w:r w:rsidR="002D4D18">
        <w:t>,</w:t>
      </w:r>
      <w:r w:rsidR="0027632D">
        <w:t xml:space="preserve"> and based on Commission precedent</w:t>
      </w:r>
      <w:r w:rsidR="00F93D0D">
        <w:t xml:space="preserve">, the Parties move </w:t>
      </w:r>
      <w:r w:rsidR="001F4AC5">
        <w:t xml:space="preserve">to reopen the record for the Commission to admit and approve the </w:t>
      </w:r>
      <w:r w:rsidR="00EA36EC">
        <w:t xml:space="preserve">attached </w:t>
      </w:r>
      <w:r w:rsidR="001F4AC5">
        <w:t>correct</w:t>
      </w:r>
      <w:r w:rsidR="00EA36EC">
        <w:t>ed</w:t>
      </w:r>
      <w:r w:rsidR="001F4AC5">
        <w:t xml:space="preserve"> tariff</w:t>
      </w:r>
      <w:r w:rsidR="00F93D0D">
        <w:t>.</w:t>
      </w:r>
    </w:p>
    <w:p w14:paraId="61E054F0" w14:textId="77777777" w:rsidR="00EA36EC" w:rsidRDefault="00EA36EC" w:rsidP="007C1C19">
      <w:pPr>
        <w:pStyle w:val="Paragraph"/>
      </w:pPr>
    </w:p>
    <w:p w14:paraId="14008776" w14:textId="5891B076" w:rsidR="007C1C19" w:rsidRDefault="00D728E4" w:rsidP="007C1C19">
      <w:pPr>
        <w:pStyle w:val="Heading1"/>
        <w:tabs>
          <w:tab w:val="clear" w:pos="1440"/>
        </w:tabs>
        <w:spacing w:before="0" w:after="0" w:line="360" w:lineRule="auto"/>
        <w:ind w:left="0" w:right="0"/>
      </w:pPr>
      <w:r>
        <w:lastRenderedPageBreak/>
        <w:t xml:space="preserve">MOTION FOR </w:t>
      </w:r>
      <w:r w:rsidR="00642894">
        <w:t xml:space="preserve">ORDER </w:t>
      </w:r>
      <w:r w:rsidR="00642894" w:rsidRPr="00D3180F">
        <w:rPr>
          <w:i/>
          <w:iCs/>
        </w:rPr>
        <w:t>NUNC PRO TUNC</w:t>
      </w:r>
    </w:p>
    <w:p w14:paraId="3794B76D" w14:textId="2DEAE6D9" w:rsidR="008A1A0A" w:rsidRDefault="00642894" w:rsidP="009706BE">
      <w:pPr>
        <w:pStyle w:val="Paragraph"/>
      </w:pPr>
      <w:r>
        <w:t xml:space="preserve">The </w:t>
      </w:r>
      <w:r w:rsidR="007D7351">
        <w:t xml:space="preserve">proposed </w:t>
      </w:r>
      <w:r>
        <w:t xml:space="preserve">correction </w:t>
      </w:r>
      <w:r w:rsidR="007D7351">
        <w:t>to the</w:t>
      </w:r>
      <w:r>
        <w:t xml:space="preserve"> tariff </w:t>
      </w:r>
      <w:r w:rsidR="007D7351">
        <w:t>to remove the</w:t>
      </w:r>
      <w:r>
        <w:t xml:space="preserve"> </w:t>
      </w:r>
      <w:r w:rsidR="007D7351">
        <w:t>erroneous language</w:t>
      </w:r>
      <w:r>
        <w:t xml:space="preserve"> stating that 10,000 gallons of water is included for all meter sizes</w:t>
      </w:r>
      <w:r w:rsidR="007D7351">
        <w:t xml:space="preserve"> </w:t>
      </w:r>
      <w:r w:rsidR="006667CC">
        <w:t xml:space="preserve">1) </w:t>
      </w:r>
      <w:r w:rsidR="007D7351">
        <w:t xml:space="preserve">accurately reflects the true decision reached by the ALJ and </w:t>
      </w:r>
      <w:r w:rsidR="006667CC">
        <w:t xml:space="preserve">2) </w:t>
      </w:r>
      <w:r w:rsidR="007D7351">
        <w:t xml:space="preserve">does not </w:t>
      </w:r>
      <w:r w:rsidR="006667CC">
        <w:t>involve additional judicial reasoning.</w:t>
      </w:r>
      <w:r w:rsidR="005E60E3" w:rsidRPr="005E60E3">
        <w:rPr>
          <w:rStyle w:val="FootnoteReference"/>
        </w:rPr>
        <w:t xml:space="preserve"> </w:t>
      </w:r>
      <w:r w:rsidR="005E60E3">
        <w:rPr>
          <w:rStyle w:val="FootnoteReference"/>
        </w:rPr>
        <w:footnoteReference w:id="2"/>
      </w:r>
      <w:r w:rsidR="006667CC">
        <w:t xml:space="preserve"> Accordingly, the correction should be considered the correction of a clerical error and not a judicial error. Specifically, </w:t>
      </w:r>
      <w:r w:rsidR="00F16B75">
        <w:t xml:space="preserve">after a court’s plenary power has expired, </w:t>
      </w:r>
      <w:r w:rsidR="006667CC">
        <w:t xml:space="preserve">an </w:t>
      </w:r>
      <w:r w:rsidR="009A6ADB">
        <w:t xml:space="preserve">Order </w:t>
      </w:r>
      <w:r w:rsidR="009A6ADB">
        <w:rPr>
          <w:i/>
          <w:iCs/>
        </w:rPr>
        <w:t>N</w:t>
      </w:r>
      <w:r w:rsidR="009A6ADB" w:rsidRPr="006667CC">
        <w:rPr>
          <w:i/>
          <w:iCs/>
        </w:rPr>
        <w:t xml:space="preserve">unc </w:t>
      </w:r>
      <w:r w:rsidR="009A6ADB">
        <w:rPr>
          <w:i/>
          <w:iCs/>
        </w:rPr>
        <w:t>P</w:t>
      </w:r>
      <w:r w:rsidR="009A6ADB" w:rsidRPr="006667CC">
        <w:rPr>
          <w:i/>
          <w:iCs/>
        </w:rPr>
        <w:t xml:space="preserve">ro </w:t>
      </w:r>
      <w:r w:rsidR="009A6ADB">
        <w:rPr>
          <w:i/>
          <w:iCs/>
        </w:rPr>
        <w:t>T</w:t>
      </w:r>
      <w:r w:rsidR="009A6ADB" w:rsidRPr="006667CC">
        <w:rPr>
          <w:i/>
          <w:iCs/>
        </w:rPr>
        <w:t>unc</w:t>
      </w:r>
      <w:r w:rsidR="009A6ADB">
        <w:t xml:space="preserve"> </w:t>
      </w:r>
      <w:r w:rsidR="00F16B75">
        <w:t xml:space="preserve">can </w:t>
      </w:r>
      <w:r w:rsidR="006667CC">
        <w:t>correct clerical errors</w:t>
      </w:r>
      <w:r w:rsidR="00F16B75">
        <w:t>, which are errors in entering or recording the decision, but not judicial</w:t>
      </w:r>
      <w:r w:rsidR="006667CC">
        <w:t xml:space="preserve"> </w:t>
      </w:r>
      <w:r w:rsidR="00F16B75">
        <w:t xml:space="preserve">errors, </w:t>
      </w:r>
      <w:r w:rsidR="006667CC">
        <w:t>which are errors in the rendering of the of the judgment.</w:t>
      </w:r>
      <w:r w:rsidR="00F16B75">
        <w:rPr>
          <w:rStyle w:val="FootnoteReference"/>
        </w:rPr>
        <w:footnoteReference w:id="3"/>
      </w:r>
      <w:r w:rsidR="006667CC">
        <w:t xml:space="preserve"> </w:t>
      </w:r>
      <w:r w:rsidR="002C4E1D">
        <w:t xml:space="preserve">Further, </w:t>
      </w:r>
      <w:r w:rsidR="00595E32">
        <w:t>“</w:t>
      </w:r>
      <w:r w:rsidR="004A7473">
        <w:t>[</w:t>
      </w:r>
      <w:r w:rsidR="00595E32">
        <w:t>t</w:t>
      </w:r>
      <w:r w:rsidR="004A7473">
        <w:t>]</w:t>
      </w:r>
      <w:r w:rsidR="00595E32">
        <w:t>he salient distinction between ‘clerical’ and ‘judicial’ errors lies in the exercise of the judgmental offices of the court</w:t>
      </w:r>
      <w:r w:rsidR="004A7473">
        <w:t>.</w:t>
      </w:r>
      <w:r w:rsidR="00595E32">
        <w:t>…[and] [a] clerical error is one which does not result from judicial reasoning or determination.”</w:t>
      </w:r>
      <w:r w:rsidR="00595E32">
        <w:rPr>
          <w:rStyle w:val="FootnoteReference"/>
        </w:rPr>
        <w:footnoteReference w:id="4"/>
      </w:r>
      <w:r w:rsidR="00595E32">
        <w:t xml:space="preserve"> Lastly, </w:t>
      </w:r>
      <w:r w:rsidR="002C4E1D">
        <w:t xml:space="preserve">an </w:t>
      </w:r>
      <w:r w:rsidR="009A6ADB">
        <w:t xml:space="preserve">Order </w:t>
      </w:r>
      <w:r w:rsidR="009A6ADB">
        <w:rPr>
          <w:i/>
          <w:iCs/>
        </w:rPr>
        <w:t>Nunc Pro Tunc</w:t>
      </w:r>
      <w:r w:rsidR="009A6ADB">
        <w:t xml:space="preserve"> </w:t>
      </w:r>
      <w:r w:rsidR="002C4E1D">
        <w:t xml:space="preserve">is allowed “where it can be seen by reference to a record what was intended to be entered but which was omitted by inadvertence or mistake, upon satisfactory proof of its rendition </w:t>
      </w:r>
      <w:r w:rsidR="002C4E1D">
        <w:rPr>
          <w:i/>
          <w:iCs/>
        </w:rPr>
        <w:t>provided that no intervening rights will be prejudiced</w:t>
      </w:r>
      <w:r w:rsidR="002C4E1D">
        <w:t>.”</w:t>
      </w:r>
      <w:r w:rsidR="002C4E1D">
        <w:rPr>
          <w:rStyle w:val="FootnoteReference"/>
        </w:rPr>
        <w:footnoteReference w:id="5"/>
      </w:r>
    </w:p>
    <w:p w14:paraId="3F70B223" w14:textId="68F17568" w:rsidR="002D4EF4" w:rsidRDefault="00496685" w:rsidP="009706BE">
      <w:pPr>
        <w:pStyle w:val="Paragraph"/>
      </w:pPr>
      <w:r>
        <w:t xml:space="preserve">In this proceeding, </w:t>
      </w:r>
      <w:r w:rsidR="00536E38">
        <w:t xml:space="preserve">the </w:t>
      </w:r>
      <w:r>
        <w:t xml:space="preserve">judgment rendered </w:t>
      </w:r>
      <w:r w:rsidR="00536E38">
        <w:t>by the ALJ was to approve</w:t>
      </w:r>
      <w:r w:rsidR="001A0AE2">
        <w:t xml:space="preserve"> </w:t>
      </w:r>
      <w:r w:rsidR="00D21D49">
        <w:t>the application</w:t>
      </w:r>
      <w:r w:rsidR="00B217A2">
        <w:t xml:space="preserve">, </w:t>
      </w:r>
      <w:r w:rsidR="00F31DAC">
        <w:t>including Gideon Water’s proposed rates</w:t>
      </w:r>
      <w:r>
        <w:t xml:space="preserve">. Specifically, </w:t>
      </w:r>
      <w:r w:rsidR="00AB2166">
        <w:t>the record indicates</w:t>
      </w:r>
      <w:r w:rsidR="007D16F2">
        <w:t xml:space="preserve"> that</w:t>
      </w:r>
      <w:r w:rsidR="00AB2166">
        <w:t xml:space="preserve"> 1) Gideon Water </w:t>
      </w:r>
      <w:r w:rsidR="00192691">
        <w:t xml:space="preserve">included </w:t>
      </w:r>
      <w:r w:rsidR="00AB2166">
        <w:t xml:space="preserve">proposed </w:t>
      </w:r>
      <w:r w:rsidR="009129C2">
        <w:t>rates in a</w:t>
      </w:r>
      <w:r w:rsidR="00AB2166">
        <w:t xml:space="preserve"> tariff</w:t>
      </w:r>
      <w:r w:rsidR="009129C2">
        <w:t xml:space="preserve"> in its application</w:t>
      </w:r>
      <w:r w:rsidR="00AB2166">
        <w:t>;</w:t>
      </w:r>
      <w:r w:rsidR="00AB2166">
        <w:rPr>
          <w:rStyle w:val="FootnoteReference"/>
        </w:rPr>
        <w:footnoteReference w:id="6"/>
      </w:r>
      <w:r w:rsidR="00AB2166">
        <w:t xml:space="preserve"> 2) Commission Staff recommended approval of </w:t>
      </w:r>
      <w:r w:rsidR="009129C2">
        <w:t>Gideon Water’s</w:t>
      </w:r>
      <w:r w:rsidR="00AB2166">
        <w:t xml:space="preserve"> application</w:t>
      </w:r>
      <w:r w:rsidR="00192691">
        <w:t xml:space="preserve">, </w:t>
      </w:r>
      <w:r w:rsidR="00F31DAC">
        <w:t>including Gideon Water’s proposed rates</w:t>
      </w:r>
      <w:r w:rsidR="00536E38">
        <w:t>, and did not recommend any changes to Gideon Water’s proposed rates</w:t>
      </w:r>
      <w:r w:rsidR="00AB2166">
        <w:t>;</w:t>
      </w:r>
      <w:r w:rsidR="00AB2166">
        <w:rPr>
          <w:rStyle w:val="FootnoteReference"/>
        </w:rPr>
        <w:footnoteReference w:id="7"/>
      </w:r>
      <w:r w:rsidR="00D26D59">
        <w:t xml:space="preserve"> </w:t>
      </w:r>
      <w:r w:rsidR="00F60694">
        <w:t xml:space="preserve">and </w:t>
      </w:r>
      <w:r w:rsidR="0059219F">
        <w:t>3</w:t>
      </w:r>
      <w:r w:rsidR="00F60694">
        <w:t xml:space="preserve">) the Commission issued a Notice of </w:t>
      </w:r>
      <w:r w:rsidR="00F60694">
        <w:lastRenderedPageBreak/>
        <w:t xml:space="preserve">Approval </w:t>
      </w:r>
      <w:r w:rsidR="0059219F">
        <w:t xml:space="preserve">that did not include any findings of fact </w:t>
      </w:r>
      <w:r w:rsidR="007D16F2">
        <w:t>regarding</w:t>
      </w:r>
      <w:r w:rsidR="00F60694">
        <w:t xml:space="preserve"> </w:t>
      </w:r>
      <w:r w:rsidR="007C4FEB">
        <w:t>any changes recommended by Staff</w:t>
      </w:r>
      <w:r w:rsidR="00192691">
        <w:t>.</w:t>
      </w:r>
      <w:r w:rsidR="00F60694">
        <w:rPr>
          <w:rStyle w:val="FootnoteReference"/>
        </w:rPr>
        <w:footnoteReference w:id="8"/>
      </w:r>
      <w:r w:rsidR="00192691">
        <w:t xml:space="preserve"> </w:t>
      </w:r>
      <w:r w:rsidR="00EE324A">
        <w:t xml:space="preserve">In contrast, </w:t>
      </w:r>
      <w:r w:rsidR="007D16F2">
        <w:t xml:space="preserve">when </w:t>
      </w:r>
      <w:r w:rsidR="00EE324A">
        <w:t>Staff recommend</w:t>
      </w:r>
      <w:r w:rsidR="007D16F2">
        <w:t>s</w:t>
      </w:r>
      <w:r w:rsidR="00EE324A">
        <w:t xml:space="preserve"> changes to the rates proposed by an applicant, </w:t>
      </w:r>
      <w:r w:rsidR="00F31DAC">
        <w:t xml:space="preserve">Staff’s experts explicitly recommend such changes, and </w:t>
      </w:r>
      <w:r w:rsidR="00EE324A">
        <w:t xml:space="preserve">the Commission </w:t>
      </w:r>
      <w:r w:rsidR="007D16F2">
        <w:t xml:space="preserve">includes </w:t>
      </w:r>
      <w:r w:rsidR="00EE324A">
        <w:t xml:space="preserve">findings of fact regarding such changes. </w:t>
      </w:r>
      <w:r w:rsidR="007D16F2">
        <w:t xml:space="preserve">For example, </w:t>
      </w:r>
      <w:r w:rsidR="00EE324A">
        <w:t>in Docket No. 50083, Solar Village Homeowners Association proposed a flat rate of $60 per customer per month</w:t>
      </w:r>
      <w:r w:rsidR="00F31DAC">
        <w:t xml:space="preserve"> in the tariff included as a supplement to the application</w:t>
      </w:r>
      <w:r w:rsidR="00EE324A">
        <w:t>,</w:t>
      </w:r>
      <w:r w:rsidR="00EE324A">
        <w:rPr>
          <w:rStyle w:val="FootnoteReference"/>
        </w:rPr>
        <w:footnoteReference w:id="9"/>
      </w:r>
      <w:r w:rsidR="00EE324A">
        <w:t xml:space="preserve"> </w:t>
      </w:r>
      <w:r w:rsidR="007D16F2">
        <w:t>and</w:t>
      </w:r>
      <w:r w:rsidR="00EE324A">
        <w:t xml:space="preserve"> Staff</w:t>
      </w:r>
      <w:r w:rsidR="00A8228B">
        <w:t>’s experts</w:t>
      </w:r>
      <w:r w:rsidR="00EE324A">
        <w:t xml:space="preserve"> </w:t>
      </w:r>
      <w:r w:rsidR="00F31DAC">
        <w:t>analyzed the application and supplemental information and recommended</w:t>
      </w:r>
      <w:r w:rsidR="00EE324A">
        <w:t xml:space="preserve"> </w:t>
      </w:r>
      <w:r w:rsidR="00405346">
        <w:t>a flat rate of $80.28 per month per connection.</w:t>
      </w:r>
      <w:r w:rsidR="00405346">
        <w:rPr>
          <w:rStyle w:val="FootnoteReference"/>
        </w:rPr>
        <w:footnoteReference w:id="10"/>
      </w:r>
      <w:r w:rsidR="00405346">
        <w:t xml:space="preserve"> </w:t>
      </w:r>
      <w:r w:rsidR="00077EC5">
        <w:t>T</w:t>
      </w:r>
      <w:r w:rsidR="00405346">
        <w:t xml:space="preserve">he </w:t>
      </w:r>
      <w:r w:rsidR="0020799A">
        <w:t xml:space="preserve">subsequent </w:t>
      </w:r>
      <w:r w:rsidR="00405346">
        <w:t xml:space="preserve">Notice of Approval included findings of fact related to Staff’s </w:t>
      </w:r>
      <w:r w:rsidR="00077EC5">
        <w:t>recommended rate adjustment</w:t>
      </w:r>
      <w:r w:rsidR="00405346">
        <w:t>.</w:t>
      </w:r>
      <w:r w:rsidR="00405346">
        <w:rPr>
          <w:rStyle w:val="FootnoteReference"/>
        </w:rPr>
        <w:footnoteReference w:id="11"/>
      </w:r>
      <w:r w:rsidR="00405346">
        <w:t xml:space="preserve"> </w:t>
      </w:r>
      <w:r w:rsidR="009706BE">
        <w:t xml:space="preserve">Here, neither of Staff’s experts made adjustments to Gideon Water’s proposed rates in their recommendations and the Notice of Approval does not </w:t>
      </w:r>
      <w:r w:rsidR="00885EE3">
        <w:t>i</w:t>
      </w:r>
      <w:r w:rsidR="009706BE">
        <w:t xml:space="preserve">ndicate </w:t>
      </w:r>
      <w:r w:rsidR="00885EE3">
        <w:t xml:space="preserve">that </w:t>
      </w:r>
      <w:r w:rsidR="009706BE">
        <w:t>any adjustments were recommended by Staff</w:t>
      </w:r>
      <w:r w:rsidR="007D16F2">
        <w:t xml:space="preserve"> or approved by the ALJ</w:t>
      </w:r>
      <w:r w:rsidR="009706BE">
        <w:t xml:space="preserve">. </w:t>
      </w:r>
    </w:p>
    <w:p w14:paraId="1BB2DF3D" w14:textId="01566BBC" w:rsidR="002670A1" w:rsidRDefault="00885EE3" w:rsidP="00885EE3">
      <w:pPr>
        <w:pStyle w:val="Paragraph"/>
      </w:pPr>
      <w:r>
        <w:t>I</w:t>
      </w:r>
      <w:r w:rsidR="00734354">
        <w:t xml:space="preserve">nterpreting the Notice of Approval to have approved a tariff with </w:t>
      </w:r>
      <w:r w:rsidR="00F31DAC">
        <w:t>the erroneous language included</w:t>
      </w:r>
      <w:r w:rsidR="00D66263">
        <w:t xml:space="preserve"> </w:t>
      </w:r>
      <w:r w:rsidR="004A75FA">
        <w:t xml:space="preserve">is without merit. Specifically, </w:t>
      </w:r>
      <w:r>
        <w:t xml:space="preserve">in addition to the failure of the Notice of Approval to include any findings related to any Staff adjustment, </w:t>
      </w:r>
      <w:r w:rsidR="004A75FA">
        <w:t>the erroneous language effectively would prevent Gideon Water from charging future customers the monthly minimum charges, such that a significant under</w:t>
      </w:r>
      <w:r w:rsidR="00F30764">
        <w:t>-recovery</w:t>
      </w:r>
      <w:r w:rsidR="004A75FA">
        <w:t xml:space="preserve"> would </w:t>
      </w:r>
      <w:r w:rsidR="00734354">
        <w:t xml:space="preserve">occur </w:t>
      </w:r>
      <w:r w:rsidR="0070248E">
        <w:t xml:space="preserve">and </w:t>
      </w:r>
      <w:r w:rsidR="00734354">
        <w:t xml:space="preserve">thus </w:t>
      </w:r>
      <w:r w:rsidR="0070248E">
        <w:t xml:space="preserve">not allow Gideon Water to recover on its reasonable and necessary operating expenses and potentially hinder its financial integrity. </w:t>
      </w:r>
      <w:r w:rsidR="00734354">
        <w:t>Further, for Gideon Water’s future rate application, this scenario would potentially implicate a higher increase in rates than necessary</w:t>
      </w:r>
      <w:r w:rsidR="00DB61F8">
        <w:t xml:space="preserve"> to account for the under</w:t>
      </w:r>
      <w:r w:rsidR="00F30764">
        <w:t>-</w:t>
      </w:r>
      <w:r w:rsidR="00DB61F8">
        <w:t>recovery</w:t>
      </w:r>
      <w:r w:rsidR="00734354">
        <w:t>.</w:t>
      </w:r>
      <w:r>
        <w:t xml:space="preserve"> Therefore, although Staff included the erroneous language on the tariff attached to its final recommendation, and the ALJ attached the same tariff to the Notice of Approval, a thorough review of the record and a reading of the entire Notice of Approval indicates that the Commission’s true decision in this proceeding was to approve Gideon Water’s </w:t>
      </w:r>
      <w:r w:rsidR="004764C7">
        <w:t xml:space="preserve">originally requested </w:t>
      </w:r>
      <w:r>
        <w:t xml:space="preserve">rates. </w:t>
      </w:r>
    </w:p>
    <w:p w14:paraId="019F65CC" w14:textId="6791CD54" w:rsidR="008E27CA" w:rsidRDefault="005F0C5A" w:rsidP="00C7313F">
      <w:pPr>
        <w:pStyle w:val="Paragraph"/>
      </w:pPr>
      <w:r>
        <w:t xml:space="preserve">Separately, even though </w:t>
      </w:r>
      <w:r w:rsidR="005371FA">
        <w:t xml:space="preserve">the </w:t>
      </w:r>
      <w:r>
        <w:t xml:space="preserve">erroneous language was included in the tariff attached to Staff’s final recommendation, </w:t>
      </w:r>
      <w:r w:rsidRPr="009E62A8">
        <w:t>nothing in that tariff</w:t>
      </w:r>
      <w:r w:rsidR="009E62A8">
        <w:t xml:space="preserve"> nor</w:t>
      </w:r>
      <w:r w:rsidRPr="009E62A8">
        <w:t xml:space="preserve"> any language related to Gideon Water’s </w:t>
      </w:r>
      <w:r w:rsidRPr="009E62A8">
        <w:lastRenderedPageBreak/>
        <w:t xml:space="preserve">proposed rates </w:t>
      </w:r>
      <w:r w:rsidR="009E62A8">
        <w:t>or</w:t>
      </w:r>
      <w:r w:rsidR="009E62A8" w:rsidRPr="009E62A8">
        <w:t xml:space="preserve"> </w:t>
      </w:r>
      <w:r w:rsidRPr="009E62A8">
        <w:t>Staff’s proposed tariff in the joint proposed notice of approval</w:t>
      </w:r>
      <w:r w:rsidR="005371FA">
        <w:t>,</w:t>
      </w:r>
      <w:r w:rsidRPr="009E62A8">
        <w:t xml:space="preserve"> filed on April 26, 2023,</w:t>
      </w:r>
      <w:r w:rsidRPr="009E62A8">
        <w:rPr>
          <w:rStyle w:val="FootnoteReference"/>
        </w:rPr>
        <w:footnoteReference w:id="12"/>
      </w:r>
      <w:r w:rsidRPr="009E62A8">
        <w:t xml:space="preserve"> require</w:t>
      </w:r>
      <w:r w:rsidR="004764C7">
        <w:t>s</w:t>
      </w:r>
      <w:r w:rsidRPr="009E62A8">
        <w:t xml:space="preserve"> additional judicial reasoning or determination by the ALJ when considering </w:t>
      </w:r>
      <w:r w:rsidR="00567753">
        <w:t xml:space="preserve">a tariff </w:t>
      </w:r>
      <w:r w:rsidRPr="009E62A8">
        <w:t>for a Notice of Approval.</w:t>
      </w:r>
      <w:r w:rsidRPr="009E62A8">
        <w:rPr>
          <w:rStyle w:val="FootnoteReference"/>
        </w:rPr>
        <w:footnoteReference w:id="13"/>
      </w:r>
      <w:r>
        <w:t xml:space="preserve"> </w:t>
      </w:r>
      <w:r w:rsidRPr="009E62A8">
        <w:t xml:space="preserve">Stated similarly, it is obvious </w:t>
      </w:r>
      <w:r w:rsidR="00885EE3">
        <w:t xml:space="preserve">that </w:t>
      </w:r>
      <w:r w:rsidRPr="009E62A8">
        <w:t>the ALJ relied on Staff’s tariff, albeit incorrect</w:t>
      </w:r>
      <w:r w:rsidR="009E62A8">
        <w:t xml:space="preserve"> tariff</w:t>
      </w:r>
      <w:r w:rsidRPr="009E62A8">
        <w:t>, only to properly record the decision it had reached in rendering judgment to approve Gideon Water’s application</w:t>
      </w:r>
      <w:r w:rsidR="007872F6">
        <w:t xml:space="preserve">, </w:t>
      </w:r>
      <w:r w:rsidR="004764C7">
        <w:t xml:space="preserve">which necessarily </w:t>
      </w:r>
      <w:r w:rsidR="00567753">
        <w:t>includ</w:t>
      </w:r>
      <w:r w:rsidR="004764C7">
        <w:t>ed</w:t>
      </w:r>
      <w:r w:rsidR="00567753">
        <w:t xml:space="preserve"> Gideon Water’s </w:t>
      </w:r>
      <w:r w:rsidR="004764C7">
        <w:t xml:space="preserve">originally </w:t>
      </w:r>
      <w:r w:rsidR="00567753">
        <w:t>proposed rates</w:t>
      </w:r>
      <w:r>
        <w:t>.</w:t>
      </w:r>
      <w:r>
        <w:rPr>
          <w:rStyle w:val="FootnoteReference"/>
        </w:rPr>
        <w:footnoteReference w:id="14"/>
      </w:r>
      <w:r>
        <w:t xml:space="preserve"> Accordingly</w:t>
      </w:r>
      <w:r w:rsidR="002D4EF4">
        <w:t xml:space="preserve">, issuing an Order </w:t>
      </w:r>
      <w:r w:rsidR="002D4EF4">
        <w:rPr>
          <w:i/>
          <w:iCs/>
        </w:rPr>
        <w:t>Nunc Pro Tunc</w:t>
      </w:r>
      <w:r w:rsidR="002D4EF4">
        <w:t xml:space="preserve"> to correct the erroneous language in the tariff </w:t>
      </w:r>
      <w:r w:rsidR="0085498A">
        <w:t>would “harmonize” with the intention of the Notice of Approval to accurately reflect the ALJ’s decision</w:t>
      </w:r>
      <w:r w:rsidR="001B600B">
        <w:t xml:space="preserve"> to </w:t>
      </w:r>
      <w:r w:rsidR="009977E0">
        <w:t xml:space="preserve">effectively </w:t>
      </w:r>
      <w:r w:rsidR="001B600B">
        <w:t xml:space="preserve">approve Gideon Water’s </w:t>
      </w:r>
      <w:r w:rsidR="004764C7">
        <w:t xml:space="preserve">originally </w:t>
      </w:r>
      <w:r w:rsidR="001B600B">
        <w:t>proposed rates</w:t>
      </w:r>
      <w:r w:rsidR="0085498A">
        <w:t>.</w:t>
      </w:r>
      <w:r w:rsidR="0085498A">
        <w:rPr>
          <w:rStyle w:val="FootnoteReference"/>
        </w:rPr>
        <w:footnoteReference w:id="15"/>
      </w:r>
      <w:r w:rsidR="0085498A">
        <w:t xml:space="preserve"> </w:t>
      </w:r>
      <w:r w:rsidR="00595E32">
        <w:t xml:space="preserve">Similarly, such an order would </w:t>
      </w:r>
      <w:r w:rsidR="007C0E68">
        <w:t xml:space="preserve">only require a correction </w:t>
      </w:r>
      <w:r w:rsidR="00666392">
        <w:t xml:space="preserve">to a clerical error </w:t>
      </w:r>
      <w:r w:rsidR="007C0E68">
        <w:t xml:space="preserve">in </w:t>
      </w:r>
      <w:r w:rsidR="00666392">
        <w:t xml:space="preserve">the </w:t>
      </w:r>
      <w:r w:rsidR="007C0E68">
        <w:t>ent</w:t>
      </w:r>
      <w:r w:rsidR="00666392">
        <w:t>ry</w:t>
      </w:r>
      <w:r w:rsidR="007C0E68">
        <w:t xml:space="preserve"> </w:t>
      </w:r>
      <w:r w:rsidR="007872F6">
        <w:t xml:space="preserve">of </w:t>
      </w:r>
      <w:r w:rsidR="007C0E68">
        <w:t xml:space="preserve">the </w:t>
      </w:r>
      <w:r w:rsidR="00666392">
        <w:t>Notice</w:t>
      </w:r>
      <w:r w:rsidR="007C0E68">
        <w:t xml:space="preserve"> </w:t>
      </w:r>
      <w:r w:rsidR="00666392">
        <w:t xml:space="preserve">of Approval </w:t>
      </w:r>
      <w:r w:rsidR="007C0E68">
        <w:t>and further does not require judicial reasoning</w:t>
      </w:r>
      <w:r w:rsidR="00666392">
        <w:t xml:space="preserve"> to make such a correction</w:t>
      </w:r>
      <w:r w:rsidR="002D4EF4">
        <w:t>.</w:t>
      </w:r>
      <w:r w:rsidR="001B600B">
        <w:rPr>
          <w:rStyle w:val="FootnoteReference"/>
        </w:rPr>
        <w:footnoteReference w:id="16"/>
      </w:r>
      <w:r w:rsidR="001B600B">
        <w:t xml:space="preserve"> </w:t>
      </w:r>
    </w:p>
    <w:p w14:paraId="08B38FB8" w14:textId="204F2F02" w:rsidR="00163EA2" w:rsidRDefault="00341410" w:rsidP="00C7313F">
      <w:pPr>
        <w:pStyle w:val="Paragraph"/>
      </w:pPr>
      <w:r>
        <w:t>Further</w:t>
      </w:r>
      <w:r w:rsidR="00C7313F">
        <w:t xml:space="preserve">, </w:t>
      </w:r>
      <w:r w:rsidR="00C51CCC">
        <w:t xml:space="preserve">Staff, and more importantly, Gideon Water, are not precluded from contending the error was clerical, </w:t>
      </w:r>
      <w:r w:rsidR="003E4068">
        <w:t>even though</w:t>
      </w:r>
      <w:r w:rsidR="00C51CCC">
        <w:t xml:space="preserve"> Staff was the cause of the erroneous language and not the ALJ.</w:t>
      </w:r>
      <w:r w:rsidR="00C51CCC">
        <w:rPr>
          <w:rStyle w:val="FootnoteReference"/>
        </w:rPr>
        <w:footnoteReference w:id="17"/>
      </w:r>
      <w:r w:rsidR="003E4068">
        <w:t xml:space="preserve"> A</w:t>
      </w:r>
      <w:r>
        <w:t xml:space="preserve">s detailed above, because a correction to the tariff would not </w:t>
      </w:r>
      <w:r w:rsidR="004764C7">
        <w:t>affect</w:t>
      </w:r>
      <w:r>
        <w:t xml:space="preserve"> the judgment as rendered and </w:t>
      </w:r>
      <w:r w:rsidR="004B32E3">
        <w:t xml:space="preserve">because </w:t>
      </w:r>
      <w:r>
        <w:t xml:space="preserve">the ALJ did not rely on the tariff to approve Gideon Water’s application, </w:t>
      </w:r>
      <w:r w:rsidR="00885EE3">
        <w:t xml:space="preserve">including Gideon Water’s </w:t>
      </w:r>
      <w:r w:rsidR="004764C7">
        <w:t xml:space="preserve">originally </w:t>
      </w:r>
      <w:r w:rsidR="00885EE3">
        <w:t xml:space="preserve">proposed rates, </w:t>
      </w:r>
      <w:r>
        <w:t xml:space="preserve">the fact that Staff caused the error in the tariff does not preclude the error from being clerical. Lastly, </w:t>
      </w:r>
      <w:r w:rsidR="00C7313F">
        <w:t xml:space="preserve">because Gideon Water and Staff were the only parties in this proceeding, </w:t>
      </w:r>
      <w:r w:rsidR="00C7313F" w:rsidRPr="00C7313F">
        <w:t>no intervening rights will be prejudiced</w:t>
      </w:r>
      <w:r w:rsidR="00C7313F">
        <w:t xml:space="preserve"> by the correction.</w:t>
      </w:r>
      <w:r w:rsidR="00C7313F">
        <w:rPr>
          <w:rStyle w:val="FootnoteReference"/>
        </w:rPr>
        <w:footnoteReference w:id="18"/>
      </w:r>
    </w:p>
    <w:p w14:paraId="6BE74DA4" w14:textId="77777777" w:rsidR="007C1C19" w:rsidRPr="00FE5A24" w:rsidRDefault="007C1C19" w:rsidP="007C1C19">
      <w:pPr>
        <w:pStyle w:val="Paragraph"/>
      </w:pPr>
    </w:p>
    <w:p w14:paraId="481C14D2" w14:textId="28019801" w:rsidR="003B70A7" w:rsidRDefault="003B70A7" w:rsidP="007C1C19">
      <w:pPr>
        <w:pStyle w:val="Heading1"/>
        <w:tabs>
          <w:tab w:val="clear" w:pos="1440"/>
        </w:tabs>
        <w:spacing w:before="0" w:after="0" w:line="360" w:lineRule="auto"/>
        <w:ind w:left="0" w:right="0"/>
      </w:pPr>
      <w:r>
        <w:t xml:space="preserve">MOTION </w:t>
      </w:r>
      <w:r w:rsidR="007872F6">
        <w:t>TO REOPEN THE RECORD</w:t>
      </w:r>
    </w:p>
    <w:p w14:paraId="3073AB92" w14:textId="324A4E61" w:rsidR="00431DE8" w:rsidRDefault="005239EF" w:rsidP="00522299">
      <w:pPr>
        <w:pStyle w:val="Paragraph"/>
        <w:rPr>
          <w:bCs/>
        </w:rPr>
      </w:pPr>
      <w:r>
        <w:t>To</w:t>
      </w:r>
      <w:r w:rsidR="003B70A7">
        <w:t xml:space="preserve"> the extent the Commission does not issue an Order </w:t>
      </w:r>
      <w:r w:rsidR="003B70A7">
        <w:rPr>
          <w:i/>
          <w:iCs/>
        </w:rPr>
        <w:t>Nunc Pro Tunc</w:t>
      </w:r>
      <w:r w:rsidR="003B70A7">
        <w:t xml:space="preserve">, the Parties </w:t>
      </w:r>
      <w:r w:rsidR="008453D3">
        <w:t xml:space="preserve">alternatively </w:t>
      </w:r>
      <w:r w:rsidR="003B70A7">
        <w:t xml:space="preserve">move </w:t>
      </w:r>
      <w:r w:rsidR="00522299">
        <w:t xml:space="preserve">to reopen the record </w:t>
      </w:r>
      <w:r w:rsidR="00B66B8D">
        <w:t xml:space="preserve">for the Commission </w:t>
      </w:r>
      <w:r w:rsidR="00522299">
        <w:t xml:space="preserve">to admit and approve the </w:t>
      </w:r>
      <w:r w:rsidR="00A12B9D">
        <w:t xml:space="preserve">attached </w:t>
      </w:r>
      <w:r w:rsidR="00522299">
        <w:t>correct</w:t>
      </w:r>
      <w:r w:rsidR="00A12B9D">
        <w:t>ed</w:t>
      </w:r>
      <w:r w:rsidR="00522299">
        <w:t xml:space="preserve"> tariff. </w:t>
      </w:r>
      <w:r w:rsidR="00B66B8D">
        <w:t>Relevantly</w:t>
      </w:r>
      <w:r w:rsidR="005530C0">
        <w:t xml:space="preserve">, the Commission has </w:t>
      </w:r>
      <w:r w:rsidR="008453D3">
        <w:t xml:space="preserve">previously </w:t>
      </w:r>
      <w:r w:rsidR="005530C0">
        <w:t>granted</w:t>
      </w:r>
      <w:r w:rsidR="005D6081">
        <w:t xml:space="preserve"> motions to reopen the record to correct errors</w:t>
      </w:r>
      <w:r w:rsidR="00B66B8D">
        <w:t>, where</w:t>
      </w:r>
      <w:r w:rsidR="005D6081">
        <w:t xml:space="preserve"> </w:t>
      </w:r>
      <w:r w:rsidR="00B66B8D">
        <w:t>the</w:t>
      </w:r>
      <w:r w:rsidR="005D6081">
        <w:t xml:space="preserve"> motions </w:t>
      </w:r>
      <w:r w:rsidR="00B66B8D">
        <w:t>would</w:t>
      </w:r>
      <w:r w:rsidR="005D6081">
        <w:t xml:space="preserve"> </w:t>
      </w:r>
      <w:r w:rsidR="005530C0">
        <w:t xml:space="preserve">otherwise be considered untimely. Specifically, in </w:t>
      </w:r>
      <w:r w:rsidR="005530C0">
        <w:lastRenderedPageBreak/>
        <w:t xml:space="preserve">Docket No. 51549, the Commission granted an untimely motion to reopen the record, so the Commission could </w:t>
      </w:r>
      <w:r w:rsidR="005530C0">
        <w:rPr>
          <w:bCs/>
        </w:rPr>
        <w:t xml:space="preserve">admit, approve, and issue a proposed tariff that was not included in the </w:t>
      </w:r>
      <w:r w:rsidR="00B66B8D">
        <w:rPr>
          <w:bCs/>
        </w:rPr>
        <w:t xml:space="preserve">record or the </w:t>
      </w:r>
      <w:r w:rsidR="005530C0">
        <w:rPr>
          <w:bCs/>
        </w:rPr>
        <w:t>Notice of Approval.</w:t>
      </w:r>
      <w:r w:rsidR="005530C0">
        <w:rPr>
          <w:rStyle w:val="FootnoteReference"/>
          <w:bCs/>
        </w:rPr>
        <w:footnoteReference w:id="19"/>
      </w:r>
      <w:r w:rsidR="005530C0">
        <w:rPr>
          <w:bCs/>
        </w:rPr>
        <w:t xml:space="preserve"> Further, the motion to reopen the record in the docket was based on an error by the parties, who inadvertently did not include the proposed tariff with the joint motion to admit evidence and proposed notice of approval.</w:t>
      </w:r>
      <w:r w:rsidR="005D6081">
        <w:rPr>
          <w:rStyle w:val="FootnoteReference"/>
          <w:bCs/>
        </w:rPr>
        <w:footnoteReference w:id="20"/>
      </w:r>
      <w:r w:rsidR="005D6081">
        <w:rPr>
          <w:bCs/>
        </w:rPr>
        <w:t xml:space="preserve"> </w:t>
      </w:r>
      <w:r w:rsidR="00B66B8D">
        <w:rPr>
          <w:bCs/>
        </w:rPr>
        <w:t>Also</w:t>
      </w:r>
      <w:r w:rsidR="005D6081">
        <w:rPr>
          <w:bCs/>
        </w:rPr>
        <w:t xml:space="preserve">, </w:t>
      </w:r>
      <w:r w:rsidR="00860754">
        <w:rPr>
          <w:bCs/>
        </w:rPr>
        <w:t xml:space="preserve">in Docket No. 52411, the Commission granted an untimely motion to reopen the record, so the parties could provide the correct location of the tract of land and thus the correct amount of acreage that </w:t>
      </w:r>
      <w:r w:rsidR="00B66B8D">
        <w:rPr>
          <w:bCs/>
        </w:rPr>
        <w:t xml:space="preserve">should have </w:t>
      </w:r>
      <w:r w:rsidR="00860754">
        <w:rPr>
          <w:bCs/>
        </w:rPr>
        <w:t>be</w:t>
      </w:r>
      <w:r w:rsidR="00B66B8D">
        <w:rPr>
          <w:bCs/>
        </w:rPr>
        <w:t>en</w:t>
      </w:r>
      <w:r w:rsidR="00860754">
        <w:rPr>
          <w:bCs/>
        </w:rPr>
        <w:t xml:space="preserve"> released in the streamlined expedited release proceeding.</w:t>
      </w:r>
      <w:r w:rsidR="00860754">
        <w:rPr>
          <w:rStyle w:val="FootnoteReference"/>
          <w:bCs/>
        </w:rPr>
        <w:footnoteReference w:id="21"/>
      </w:r>
      <w:r w:rsidR="00860754">
        <w:rPr>
          <w:bCs/>
        </w:rPr>
        <w:t xml:space="preserve"> </w:t>
      </w:r>
      <w:r w:rsidR="00431DE8">
        <w:rPr>
          <w:bCs/>
        </w:rPr>
        <w:t xml:space="preserve">Similarly, an order granting a </w:t>
      </w:r>
      <w:r w:rsidR="005F53BE">
        <w:rPr>
          <w:bCs/>
        </w:rPr>
        <w:t xml:space="preserve">motion to reopen the record </w:t>
      </w:r>
      <w:r w:rsidR="00B66B8D">
        <w:rPr>
          <w:bCs/>
        </w:rPr>
        <w:t xml:space="preserve">in this proceeding </w:t>
      </w:r>
      <w:r w:rsidR="00431DE8">
        <w:rPr>
          <w:bCs/>
        </w:rPr>
        <w:t xml:space="preserve">would provide the Parties and the Commission with an appropriate procedural step to cure the error in Gideon Water’s tariff. </w:t>
      </w:r>
    </w:p>
    <w:p w14:paraId="1C62AA7A" w14:textId="77777777" w:rsidR="00431DE8" w:rsidRPr="00431DE8" w:rsidRDefault="00431DE8" w:rsidP="00431DE8">
      <w:pPr>
        <w:pStyle w:val="Paragraph"/>
        <w:rPr>
          <w:bCs/>
        </w:rPr>
      </w:pPr>
    </w:p>
    <w:p w14:paraId="239A8058" w14:textId="0569D4F9" w:rsidR="007C1C19" w:rsidRDefault="007C1C19" w:rsidP="007C1C19">
      <w:pPr>
        <w:pStyle w:val="Heading1"/>
        <w:tabs>
          <w:tab w:val="clear" w:pos="1440"/>
        </w:tabs>
        <w:spacing w:before="0" w:after="0" w:line="360" w:lineRule="auto"/>
        <w:ind w:left="0" w:right="0"/>
      </w:pPr>
      <w:r w:rsidRPr="005E0AD2">
        <w:t>CONCLUSION</w:t>
      </w:r>
    </w:p>
    <w:p w14:paraId="793A7BDE" w14:textId="4951D331" w:rsidR="007C1C19" w:rsidRDefault="006238FF" w:rsidP="005F53BE">
      <w:pPr>
        <w:autoSpaceDE w:val="0"/>
        <w:autoSpaceDN w:val="0"/>
        <w:adjustRightInd w:val="0"/>
        <w:spacing w:after="0"/>
        <w:rPr>
          <w:bCs/>
        </w:rPr>
      </w:pPr>
      <w:r>
        <w:rPr>
          <w:bCs/>
        </w:rPr>
        <w:t>For the reasons detailed above, the Parties respectfully request th</w:t>
      </w:r>
      <w:r w:rsidR="005F53BE">
        <w:rPr>
          <w:bCs/>
        </w:rPr>
        <w:t xml:space="preserve">at the Commission issue </w:t>
      </w:r>
      <w:r>
        <w:rPr>
          <w:bCs/>
        </w:rPr>
        <w:t xml:space="preserve">an Order </w:t>
      </w:r>
      <w:r>
        <w:rPr>
          <w:bCs/>
          <w:i/>
          <w:iCs/>
        </w:rPr>
        <w:t>Nunc Pro Tunc</w:t>
      </w:r>
      <w:r>
        <w:rPr>
          <w:bCs/>
        </w:rPr>
        <w:t xml:space="preserve"> or</w:t>
      </w:r>
      <w:r w:rsidR="005F53BE">
        <w:rPr>
          <w:bCs/>
        </w:rPr>
        <w:t>,</w:t>
      </w:r>
      <w:r>
        <w:rPr>
          <w:bCs/>
        </w:rPr>
        <w:t xml:space="preserve"> alternatively</w:t>
      </w:r>
      <w:r w:rsidR="005F53BE">
        <w:rPr>
          <w:bCs/>
        </w:rPr>
        <w:t>,</w:t>
      </w:r>
      <w:r>
        <w:rPr>
          <w:bCs/>
        </w:rPr>
        <w:t xml:space="preserve"> that the Commission grant a motion to reopen the record to </w:t>
      </w:r>
      <w:r w:rsidR="00B66B8D">
        <w:rPr>
          <w:bCs/>
        </w:rPr>
        <w:t>admit and approve</w:t>
      </w:r>
      <w:r>
        <w:rPr>
          <w:bCs/>
        </w:rPr>
        <w:t xml:space="preserve"> the correct tariff as proposed in Gideon Water’s application.</w:t>
      </w:r>
    </w:p>
    <w:p w14:paraId="4C56D6EA" w14:textId="77777777" w:rsidR="006238FF" w:rsidRDefault="006238FF" w:rsidP="007C1C19">
      <w:pPr>
        <w:autoSpaceDE w:val="0"/>
        <w:autoSpaceDN w:val="0"/>
        <w:adjustRightInd w:val="0"/>
        <w:spacing w:after="0"/>
        <w:ind w:firstLine="0"/>
        <w:rPr>
          <w:bCs/>
        </w:rPr>
      </w:pPr>
    </w:p>
    <w:p w14:paraId="0A10EB34" w14:textId="77777777" w:rsidR="0006297B" w:rsidRDefault="0006297B" w:rsidP="007C1C19">
      <w:pPr>
        <w:autoSpaceDE w:val="0"/>
        <w:autoSpaceDN w:val="0"/>
        <w:adjustRightInd w:val="0"/>
        <w:spacing w:after="0"/>
        <w:ind w:firstLine="0"/>
        <w:rPr>
          <w:bCs/>
        </w:rPr>
      </w:pPr>
    </w:p>
    <w:p w14:paraId="3F966D32" w14:textId="77777777" w:rsidR="0006297B" w:rsidRDefault="0006297B" w:rsidP="007C1C19">
      <w:pPr>
        <w:autoSpaceDE w:val="0"/>
        <w:autoSpaceDN w:val="0"/>
        <w:adjustRightInd w:val="0"/>
        <w:spacing w:after="0"/>
        <w:ind w:firstLine="0"/>
        <w:rPr>
          <w:bCs/>
        </w:rPr>
      </w:pPr>
    </w:p>
    <w:p w14:paraId="370F5F06" w14:textId="77777777" w:rsidR="0006297B" w:rsidRDefault="0006297B" w:rsidP="007C1C19">
      <w:pPr>
        <w:autoSpaceDE w:val="0"/>
        <w:autoSpaceDN w:val="0"/>
        <w:adjustRightInd w:val="0"/>
        <w:spacing w:after="0"/>
        <w:ind w:firstLine="0"/>
        <w:rPr>
          <w:bCs/>
        </w:rPr>
      </w:pPr>
    </w:p>
    <w:p w14:paraId="74912473" w14:textId="77777777" w:rsidR="0006297B" w:rsidRDefault="0006297B" w:rsidP="007C1C19">
      <w:pPr>
        <w:autoSpaceDE w:val="0"/>
        <w:autoSpaceDN w:val="0"/>
        <w:adjustRightInd w:val="0"/>
        <w:spacing w:after="0"/>
        <w:ind w:firstLine="0"/>
        <w:rPr>
          <w:bCs/>
        </w:rPr>
      </w:pPr>
    </w:p>
    <w:p w14:paraId="4289952D" w14:textId="77777777" w:rsidR="0006297B" w:rsidRPr="006238FF" w:rsidRDefault="0006297B" w:rsidP="007C1C19">
      <w:pPr>
        <w:autoSpaceDE w:val="0"/>
        <w:autoSpaceDN w:val="0"/>
        <w:adjustRightInd w:val="0"/>
        <w:spacing w:after="0"/>
        <w:ind w:firstLine="0"/>
        <w:rPr>
          <w:bCs/>
        </w:rPr>
      </w:pPr>
    </w:p>
    <w:p w14:paraId="50912694" w14:textId="77777777" w:rsidR="006238FF" w:rsidRDefault="006238FF" w:rsidP="007C1C19">
      <w:pPr>
        <w:autoSpaceDE w:val="0"/>
        <w:autoSpaceDN w:val="0"/>
        <w:adjustRightInd w:val="0"/>
        <w:spacing w:after="0"/>
        <w:ind w:firstLine="0"/>
        <w:rPr>
          <w:bCs/>
        </w:rPr>
      </w:pPr>
    </w:p>
    <w:p w14:paraId="6F960559" w14:textId="77777777" w:rsidR="006238FF" w:rsidRDefault="006238FF" w:rsidP="007C1C19">
      <w:pPr>
        <w:autoSpaceDE w:val="0"/>
        <w:autoSpaceDN w:val="0"/>
        <w:adjustRightInd w:val="0"/>
        <w:spacing w:after="0"/>
        <w:ind w:firstLine="0"/>
        <w:rPr>
          <w:bCs/>
        </w:rPr>
      </w:pPr>
    </w:p>
    <w:p w14:paraId="73F1DB89" w14:textId="77777777" w:rsidR="006238FF" w:rsidRDefault="006238FF" w:rsidP="007C1C19">
      <w:pPr>
        <w:autoSpaceDE w:val="0"/>
        <w:autoSpaceDN w:val="0"/>
        <w:adjustRightInd w:val="0"/>
        <w:spacing w:after="0"/>
        <w:ind w:firstLine="0"/>
        <w:rPr>
          <w:bCs/>
        </w:rPr>
      </w:pPr>
    </w:p>
    <w:p w14:paraId="68EAAF12" w14:textId="77777777" w:rsidR="006238FF" w:rsidRDefault="006238FF" w:rsidP="007C1C19">
      <w:pPr>
        <w:autoSpaceDE w:val="0"/>
        <w:autoSpaceDN w:val="0"/>
        <w:adjustRightInd w:val="0"/>
        <w:spacing w:after="0"/>
        <w:ind w:firstLine="0"/>
        <w:rPr>
          <w:bCs/>
        </w:rPr>
      </w:pPr>
    </w:p>
    <w:p w14:paraId="53AEF3ED" w14:textId="13DF7A46" w:rsidR="007C1C19" w:rsidRPr="000612C6" w:rsidRDefault="007C1C19" w:rsidP="007C1C19">
      <w:pPr>
        <w:autoSpaceDE w:val="0"/>
        <w:autoSpaceDN w:val="0"/>
        <w:adjustRightInd w:val="0"/>
        <w:spacing w:after="0"/>
        <w:ind w:firstLine="0"/>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100E47">
        <w:rPr>
          <w:bCs/>
          <w:noProof/>
        </w:rPr>
        <w:t>March 6, 2024</w:t>
      </w:r>
      <w:r w:rsidRPr="000612C6">
        <w:rPr>
          <w:bCs/>
        </w:rPr>
        <w:fldChar w:fldCharType="end"/>
      </w:r>
    </w:p>
    <w:p w14:paraId="79D0A3BC" w14:textId="77777777" w:rsidR="007C1C19" w:rsidRPr="000612C6" w:rsidRDefault="007C1C19" w:rsidP="007C1C19">
      <w:pPr>
        <w:spacing w:after="0"/>
        <w:ind w:firstLine="0"/>
        <w:rPr>
          <w:bCs/>
        </w:rPr>
      </w:pPr>
    </w:p>
    <w:p w14:paraId="54265EED" w14:textId="77777777" w:rsidR="007C1C19" w:rsidRPr="000612C6" w:rsidRDefault="007C1C19" w:rsidP="007C1C19">
      <w:pPr>
        <w:spacing w:after="0" w:line="480" w:lineRule="auto"/>
        <w:ind w:left="3600"/>
      </w:pPr>
      <w:r w:rsidRPr="000612C6">
        <w:t>Respectfully submitted,</w:t>
      </w:r>
    </w:p>
    <w:p w14:paraId="5F149F36" w14:textId="77777777" w:rsidR="007C1C19" w:rsidRPr="000612C6" w:rsidRDefault="007C1C19" w:rsidP="007C1C19">
      <w:pPr>
        <w:spacing w:after="0" w:line="240" w:lineRule="auto"/>
        <w:ind w:left="4320" w:firstLine="0"/>
        <w:contextualSpacing/>
        <w:rPr>
          <w:b/>
        </w:rPr>
      </w:pPr>
      <w:r w:rsidRPr="000612C6">
        <w:rPr>
          <w:b/>
        </w:rPr>
        <w:t xml:space="preserve">PUBLIC UTILITY COMMISSION OF TEXAS </w:t>
      </w:r>
    </w:p>
    <w:p w14:paraId="352CB0C9" w14:textId="77777777" w:rsidR="007C1C19" w:rsidRPr="000612C6" w:rsidRDefault="007C1C19" w:rsidP="007C1C19">
      <w:pPr>
        <w:spacing w:after="0" w:line="240" w:lineRule="auto"/>
        <w:ind w:left="4320" w:firstLine="0"/>
        <w:contextualSpacing/>
        <w:rPr>
          <w:b/>
        </w:rPr>
      </w:pPr>
      <w:r w:rsidRPr="000612C6">
        <w:rPr>
          <w:b/>
        </w:rPr>
        <w:t>LEGAL DIVISION</w:t>
      </w:r>
    </w:p>
    <w:p w14:paraId="0E86E484" w14:textId="77777777" w:rsidR="007C1C19" w:rsidRPr="000612C6" w:rsidRDefault="007C1C19" w:rsidP="007C1C19">
      <w:pPr>
        <w:spacing w:after="0" w:line="240" w:lineRule="auto"/>
        <w:ind w:firstLine="0"/>
        <w:rPr>
          <w:szCs w:val="20"/>
        </w:rPr>
      </w:pPr>
    </w:p>
    <w:p w14:paraId="67F95918" w14:textId="77777777" w:rsidR="007C1C19" w:rsidRPr="000612C6" w:rsidRDefault="00E41EC3" w:rsidP="007C1C19">
      <w:pPr>
        <w:spacing w:after="0" w:line="240" w:lineRule="auto"/>
        <w:ind w:left="4320" w:firstLine="0"/>
        <w:rPr>
          <w:rFonts w:eastAsia="Calibri"/>
          <w:szCs w:val="20"/>
        </w:rPr>
      </w:pPr>
      <w:r>
        <w:rPr>
          <w:rFonts w:eastAsia="Calibri"/>
          <w:szCs w:val="20"/>
        </w:rPr>
        <w:t>Marisa Lopez Wagley</w:t>
      </w:r>
    </w:p>
    <w:p w14:paraId="63DBCFF3" w14:textId="77777777" w:rsidR="007C1C19" w:rsidRPr="000612C6" w:rsidRDefault="007C1C19" w:rsidP="007C1C19">
      <w:pPr>
        <w:spacing w:after="0" w:line="240" w:lineRule="auto"/>
        <w:ind w:firstLine="0"/>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2C57C24" w14:textId="6FF141D3" w:rsidR="007C1C19" w:rsidRPr="000612C6" w:rsidRDefault="008453D3" w:rsidP="008453D3">
      <w:pPr>
        <w:tabs>
          <w:tab w:val="left" w:pos="8445"/>
        </w:tabs>
        <w:spacing w:after="0" w:line="240" w:lineRule="auto"/>
        <w:ind w:left="4320" w:firstLine="0"/>
        <w:rPr>
          <w:szCs w:val="20"/>
        </w:rPr>
      </w:pPr>
      <w:r>
        <w:rPr>
          <w:szCs w:val="20"/>
        </w:rPr>
        <w:tab/>
      </w:r>
    </w:p>
    <w:p w14:paraId="6D3822E7" w14:textId="77777777" w:rsidR="007C1C19" w:rsidRPr="000612C6" w:rsidRDefault="00E41EC3" w:rsidP="007C1C19">
      <w:pPr>
        <w:spacing w:after="0" w:line="240" w:lineRule="auto"/>
        <w:ind w:firstLine="4320"/>
        <w:jc w:val="left"/>
      </w:pPr>
      <w:r>
        <w:t>Ian Groetsch</w:t>
      </w:r>
    </w:p>
    <w:p w14:paraId="1D9FF01C" w14:textId="77777777" w:rsidR="007C1C19" w:rsidRPr="000612C6" w:rsidRDefault="007C1C19" w:rsidP="007C1C19">
      <w:pPr>
        <w:spacing w:after="0" w:line="240" w:lineRule="auto"/>
        <w:ind w:firstLine="4320"/>
        <w:jc w:val="left"/>
      </w:pPr>
      <w:r w:rsidRPr="000612C6">
        <w:t>Managing Attorney</w:t>
      </w:r>
    </w:p>
    <w:p w14:paraId="1BCB13DA" w14:textId="77777777" w:rsidR="007C1C19" w:rsidRPr="000612C6" w:rsidRDefault="007C1C19" w:rsidP="007C1C19">
      <w:pPr>
        <w:spacing w:after="0" w:line="240" w:lineRule="auto"/>
        <w:ind w:firstLine="4320"/>
        <w:jc w:val="left"/>
      </w:pPr>
    </w:p>
    <w:p w14:paraId="58C5561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p>
    <w:p w14:paraId="25842CD6"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5AB8D2FA"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7F82945D"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State Bar No. 24098103</w:t>
      </w:r>
    </w:p>
    <w:p w14:paraId="4F82A1EE"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1701 N. Congress Avenue</w:t>
      </w:r>
    </w:p>
    <w:p w14:paraId="618B01E6"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P.O. Box 13326</w:t>
      </w:r>
    </w:p>
    <w:p w14:paraId="2CD4B79D"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Austin, Texas 78711-3326</w:t>
      </w:r>
    </w:p>
    <w:p w14:paraId="7794BA7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936-7228</w:t>
      </w:r>
    </w:p>
    <w:p w14:paraId="1FC1EBBA"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936-7268 (facsimile)</w:t>
      </w:r>
    </w:p>
    <w:p w14:paraId="6D7D1483" w14:textId="77777777" w:rsidR="007C1C19" w:rsidRDefault="007C1C19" w:rsidP="007C1C19">
      <w:pPr>
        <w:overflowPunct w:val="0"/>
        <w:autoSpaceDE w:val="0"/>
        <w:autoSpaceDN w:val="0"/>
        <w:adjustRightInd w:val="0"/>
        <w:spacing w:after="0" w:line="240" w:lineRule="auto"/>
        <w:ind w:left="4320" w:firstLine="0"/>
        <w:jc w:val="left"/>
        <w:textAlignment w:val="baseline"/>
      </w:pPr>
      <w:r w:rsidRPr="000612C6">
        <w:t>Scott.Miles@puc.texas.gov</w:t>
      </w:r>
    </w:p>
    <w:p w14:paraId="7288CC8A" w14:textId="77777777" w:rsidR="0059201D" w:rsidRPr="0051021C" w:rsidRDefault="0059201D" w:rsidP="0051021C">
      <w:pPr>
        <w:pStyle w:val="Paragraph"/>
      </w:pPr>
    </w:p>
    <w:p w14:paraId="051BBA28" w14:textId="2A44A61D"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6667CC" w:rsidRPr="00EF7381">
        <w:t>Docket</w:t>
      </w:r>
      <w:r w:rsidR="006667CC" w:rsidRPr="00D92C94">
        <w:t xml:space="preserve"> No</w:t>
      </w:r>
      <w:r w:rsidR="006667CC" w:rsidRPr="008647EB">
        <w:t>.</w:t>
      </w:r>
      <w:r w:rsidR="006667CC">
        <w:t xml:space="preserve"> 53485</w:t>
      </w:r>
      <w:r w:rsidR="006667CC" w:rsidRPr="006667CC">
        <w:rPr>
          <w:rStyle w:val="PlaceholderText"/>
        </w:rPr>
        <w:t xml:space="preserve"> </w:t>
      </w:r>
      <w:r w:rsidRPr="007E3A22">
        <w:rPr>
          <w:bCs/>
        </w:rPr>
        <w:fldChar w:fldCharType="end"/>
      </w:r>
    </w:p>
    <w:p w14:paraId="13C132ED" w14:textId="77777777" w:rsidR="007C1C19" w:rsidRPr="008647EB" w:rsidRDefault="007C1C19" w:rsidP="007C1C19">
      <w:pPr>
        <w:pStyle w:val="CaseCaption"/>
        <w:spacing w:after="0" w:line="360" w:lineRule="auto"/>
      </w:pPr>
      <w:r w:rsidRPr="008647EB">
        <w:t>CERTIFICATE OF SERVICE</w:t>
      </w:r>
    </w:p>
    <w:p w14:paraId="75CB6FE2" w14:textId="6E2D24D8" w:rsidR="007C1C19" w:rsidRPr="008647EB" w:rsidRDefault="007C1C19" w:rsidP="007C1C19">
      <w:pPr>
        <w:pStyle w:val="Paragraph"/>
        <w:keepNext/>
        <w:keepLines/>
      </w:pPr>
      <w:r w:rsidRPr="00893EAC">
        <w:t>I certify that unless otherwise ordered by the presiding officer, notice of the filing of this document was provided to all parties of record via electronic mail on</w:t>
      </w:r>
      <w:r>
        <w:t xml:space="preserve"> </w:t>
      </w:r>
      <w:r w:rsidR="00C96690" w:rsidRPr="000612C6">
        <w:rPr>
          <w:bCs/>
        </w:rPr>
        <w:fldChar w:fldCharType="begin"/>
      </w:r>
      <w:r w:rsidR="00C96690" w:rsidRPr="000612C6">
        <w:rPr>
          <w:bCs/>
        </w:rPr>
        <w:instrText xml:space="preserve"> DATE \@ "MMMM d, yyyy" </w:instrText>
      </w:r>
      <w:r w:rsidR="00C96690" w:rsidRPr="000612C6">
        <w:rPr>
          <w:bCs/>
        </w:rPr>
        <w:fldChar w:fldCharType="separate"/>
      </w:r>
      <w:r w:rsidR="00100E47">
        <w:rPr>
          <w:bCs/>
          <w:noProof/>
        </w:rPr>
        <w:t>March 6, 2024</w:t>
      </w:r>
      <w:r w:rsidR="00C96690" w:rsidRPr="000612C6">
        <w:rPr>
          <w:bCs/>
        </w:rP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18901D60"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6BC3B17B"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4D7CB212"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43C8361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72CF796D" w14:textId="77777777" w:rsidR="00DA790F" w:rsidRPr="00893EAC" w:rsidRDefault="00DA790F" w:rsidP="007C1C19">
      <w:pPr>
        <w:pStyle w:val="CaseCaption"/>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9C1D6" w14:textId="77777777" w:rsidR="00C70BB4" w:rsidRDefault="00C70BB4">
      <w:pPr>
        <w:spacing w:after="0" w:line="240" w:lineRule="auto"/>
      </w:pPr>
      <w:r>
        <w:separator/>
      </w:r>
    </w:p>
  </w:endnote>
  <w:endnote w:type="continuationSeparator" w:id="0">
    <w:p w14:paraId="6A13C362" w14:textId="77777777" w:rsidR="00C70BB4" w:rsidRDefault="00C70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347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CEBA143" w14:textId="77777777" w:rsidR="00071BFA" w:rsidRDefault="00071BFA" w:rsidP="008016FB">
    <w:pPr>
      <w:pStyle w:val="Footer"/>
    </w:pPr>
  </w:p>
  <w:p w14:paraId="169658DD" w14:textId="77777777" w:rsidR="00071BFA" w:rsidRDefault="00071BFA" w:rsidP="008016FB"/>
  <w:p w14:paraId="20DBE1BD"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9DC4D" w14:textId="77777777" w:rsidR="00C70BB4" w:rsidRDefault="00C70BB4">
      <w:pPr>
        <w:spacing w:after="0" w:line="240" w:lineRule="auto"/>
      </w:pPr>
      <w:r>
        <w:separator/>
      </w:r>
    </w:p>
  </w:footnote>
  <w:footnote w:type="continuationSeparator" w:id="0">
    <w:p w14:paraId="6AB38AE0" w14:textId="77777777" w:rsidR="00C70BB4" w:rsidRDefault="00C70BB4">
      <w:pPr>
        <w:spacing w:after="0" w:line="240" w:lineRule="auto"/>
      </w:pPr>
      <w:r>
        <w:continuationSeparator/>
      </w:r>
    </w:p>
  </w:footnote>
  <w:footnote w:type="continuationNotice" w:id="1">
    <w:p w14:paraId="2959C0E5" w14:textId="77777777" w:rsidR="00C70BB4" w:rsidRDefault="00C70BB4">
      <w:pPr>
        <w:spacing w:after="0" w:line="240" w:lineRule="auto"/>
      </w:pPr>
    </w:p>
  </w:footnote>
  <w:footnote w:id="2">
    <w:p w14:paraId="00112CA8" w14:textId="3C633424" w:rsidR="005E60E3" w:rsidRDefault="005E60E3" w:rsidP="005E60E3">
      <w:pPr>
        <w:pStyle w:val="FootnoteText"/>
      </w:pPr>
      <w:r>
        <w:rPr>
          <w:rStyle w:val="FootnoteReference"/>
        </w:rPr>
        <w:footnoteRef/>
      </w:r>
      <w:r>
        <w:t xml:space="preserve">  Although Gideon Water’s request for consideration sought to include language for a pass-through provision, the provision was not sought in the application or tariff provided by Gideon Water, and Staff’s final recommendation did not include comments on a pass-through provision. Further, such a pass-through provision is not relevant unless an applicant also seeks to implement it for a specifically defined pass-through fee, which was not requested here. Thus, the corrected tariff only seeks to remove the language </w:t>
      </w:r>
      <w:r w:rsidR="001A51AA">
        <w:t>stating that</w:t>
      </w:r>
      <w:r>
        <w:t xml:space="preserve"> 10,000 gallons </w:t>
      </w:r>
      <w:r w:rsidR="001A51AA">
        <w:t>of water is in</w:t>
      </w:r>
      <w:r>
        <w:t xml:space="preserve">cluded for all meter sizes. </w:t>
      </w:r>
    </w:p>
  </w:footnote>
  <w:footnote w:id="3">
    <w:p w14:paraId="76D09D41" w14:textId="1BD3CC1B" w:rsidR="00F16B75" w:rsidRDefault="00F16B75">
      <w:pPr>
        <w:pStyle w:val="FootnoteText"/>
      </w:pPr>
      <w:r>
        <w:rPr>
          <w:rStyle w:val="FootnoteReference"/>
        </w:rPr>
        <w:footnoteRef/>
      </w:r>
      <w:r>
        <w:t xml:space="preserve">  </w:t>
      </w:r>
      <w:r>
        <w:rPr>
          <w:i/>
          <w:iCs/>
        </w:rPr>
        <w:t>Application of 3083 Utility LLC for a Convenience and Necessity in Montgomery County</w:t>
      </w:r>
      <w:r>
        <w:t xml:space="preserve">, Docket No. 54273, Order No. 10 Construing Motion for Order </w:t>
      </w:r>
      <w:r>
        <w:rPr>
          <w:i/>
          <w:iCs/>
        </w:rPr>
        <w:t>Nunc Pro Tunc</w:t>
      </w:r>
      <w:r>
        <w:t xml:space="preserve"> as Motion for Rehearing</w:t>
      </w:r>
      <w:r w:rsidR="00D3180F">
        <w:t xml:space="preserve"> (citing to </w:t>
      </w:r>
      <w:r w:rsidR="00D3180F">
        <w:rPr>
          <w:i/>
          <w:iCs/>
        </w:rPr>
        <w:t>Escobar v. Escobar</w:t>
      </w:r>
      <w:r w:rsidR="00D3180F">
        <w:t>, 711 S.W.2d 230, 231 (Tex. 1986))</w:t>
      </w:r>
      <w:r w:rsidR="004A7473">
        <w:t xml:space="preserve"> (Sept. 19, 2023)</w:t>
      </w:r>
      <w:r w:rsidR="00D3180F">
        <w:t>.</w:t>
      </w:r>
      <w:r>
        <w:t xml:space="preserve"> </w:t>
      </w:r>
    </w:p>
  </w:footnote>
  <w:footnote w:id="4">
    <w:p w14:paraId="376F57F4" w14:textId="66BC1919" w:rsidR="00595E32" w:rsidRDefault="00595E32">
      <w:pPr>
        <w:pStyle w:val="FootnoteText"/>
      </w:pPr>
      <w:r>
        <w:rPr>
          <w:rStyle w:val="FootnoteReference"/>
        </w:rPr>
        <w:footnoteRef/>
      </w:r>
      <w:r>
        <w:t xml:space="preserve">  </w:t>
      </w:r>
      <w:r>
        <w:rPr>
          <w:i/>
          <w:iCs/>
        </w:rPr>
        <w:t>Andrews v. Koch</w:t>
      </w:r>
      <w:r>
        <w:t>, 702 S.W.2d 584, 585-586 (Tex. 1986)</w:t>
      </w:r>
      <w:r w:rsidR="00A9549A">
        <w:t xml:space="preserve"> (citing to </w:t>
      </w:r>
      <w:r w:rsidR="00A9549A">
        <w:rPr>
          <w:i/>
          <w:iCs/>
        </w:rPr>
        <w:t>Petroleum Equip. Fin.</w:t>
      </w:r>
      <w:r w:rsidR="004A7473">
        <w:rPr>
          <w:i/>
          <w:iCs/>
        </w:rPr>
        <w:t xml:space="preserve"> </w:t>
      </w:r>
      <w:r w:rsidR="00A9549A">
        <w:rPr>
          <w:i/>
          <w:iCs/>
        </w:rPr>
        <w:t>Corp. v. First Nat. Bank of Fort Worth</w:t>
      </w:r>
      <w:r w:rsidR="00A9549A" w:rsidRPr="00A9549A">
        <w:t>, 622 S.W.2d 152 (Tex.</w:t>
      </w:r>
      <w:r w:rsidR="005E02A7">
        <w:t xml:space="preserve"> </w:t>
      </w:r>
      <w:r w:rsidR="00A9549A" w:rsidRPr="00A9549A">
        <w:t>App.</w:t>
      </w:r>
      <w:r w:rsidR="00A9549A">
        <w:t>—Fort Worth 1981, writ ref’d n.r.e.).</w:t>
      </w:r>
    </w:p>
  </w:footnote>
  <w:footnote w:id="5">
    <w:p w14:paraId="397154A7" w14:textId="2E5CEBF3" w:rsidR="002C4E1D" w:rsidRPr="00816556" w:rsidRDefault="002C4E1D">
      <w:pPr>
        <w:pStyle w:val="FootnoteText"/>
      </w:pPr>
      <w:r>
        <w:rPr>
          <w:rStyle w:val="FootnoteReference"/>
        </w:rPr>
        <w:footnoteRef/>
      </w:r>
      <w:r>
        <w:t xml:space="preserve">  </w:t>
      </w:r>
      <w:r>
        <w:rPr>
          <w:i/>
          <w:iCs/>
        </w:rPr>
        <w:t>Railroad</w:t>
      </w:r>
      <w:r w:rsidR="00816556">
        <w:rPr>
          <w:i/>
          <w:iCs/>
        </w:rPr>
        <w:t xml:space="preserve"> Comm’n v. McClain</w:t>
      </w:r>
      <w:r w:rsidR="00816556">
        <w:t xml:space="preserve">, </w:t>
      </w:r>
      <w:r w:rsidR="004A7473">
        <w:t xml:space="preserve">356 </w:t>
      </w:r>
      <w:r w:rsidR="00816556">
        <w:t>S.W.2d 330, 334 (Tex.</w:t>
      </w:r>
      <w:r w:rsidR="005E02A7">
        <w:t xml:space="preserve"> </w:t>
      </w:r>
      <w:r w:rsidR="00816556">
        <w:t xml:space="preserve">App.—Austin 1962, no writ) (citing to </w:t>
      </w:r>
      <w:r w:rsidR="00816556">
        <w:rPr>
          <w:i/>
          <w:iCs/>
        </w:rPr>
        <w:t>Frankfort Ky. Nat. Gas Co. v. City of Frankfort</w:t>
      </w:r>
      <w:r w:rsidR="00816556">
        <w:t>, 123 S.W.2d 270, 272)</w:t>
      </w:r>
      <w:r w:rsidR="00DA6AED">
        <w:t xml:space="preserve"> (</w:t>
      </w:r>
      <w:r w:rsidR="00DA6AED" w:rsidRPr="00356206">
        <w:t>emphasis added</w:t>
      </w:r>
      <w:r w:rsidR="00DA6AED" w:rsidRPr="00E24DE5">
        <w:t>)</w:t>
      </w:r>
      <w:r w:rsidR="00816556">
        <w:t xml:space="preserve">. </w:t>
      </w:r>
    </w:p>
  </w:footnote>
  <w:footnote w:id="6">
    <w:p w14:paraId="52AA9B60" w14:textId="6AE13A5B" w:rsidR="00AB2166" w:rsidRDefault="00AB2166">
      <w:pPr>
        <w:pStyle w:val="FootnoteText"/>
      </w:pPr>
      <w:r>
        <w:rPr>
          <w:rStyle w:val="FootnoteReference"/>
        </w:rPr>
        <w:footnoteRef/>
      </w:r>
      <w:r>
        <w:t xml:space="preserve">  Notice of Approval at Findings of Fact Nos. 47-52</w:t>
      </w:r>
      <w:r w:rsidR="00014833">
        <w:t xml:space="preserve"> (Jul. 31, 2023)</w:t>
      </w:r>
      <w:r>
        <w:t xml:space="preserve">; </w:t>
      </w:r>
      <w:r>
        <w:rPr>
          <w:i/>
          <w:iCs/>
        </w:rPr>
        <w:t xml:space="preserve">see also </w:t>
      </w:r>
      <w:r>
        <w:t>Application at Attachment E</w:t>
      </w:r>
      <w:r w:rsidR="00A36D79">
        <w:t xml:space="preserve"> (Apr. 12, 2022)</w:t>
      </w:r>
      <w:r w:rsidR="00035DE9">
        <w:t>.</w:t>
      </w:r>
      <w:r>
        <w:t xml:space="preserve"> </w:t>
      </w:r>
    </w:p>
  </w:footnote>
  <w:footnote w:id="7">
    <w:p w14:paraId="2C2F79F6" w14:textId="317F2FF2" w:rsidR="00AB2166" w:rsidRPr="00AB2166" w:rsidRDefault="00AB2166">
      <w:pPr>
        <w:pStyle w:val="FootnoteText"/>
      </w:pPr>
      <w:r>
        <w:rPr>
          <w:rStyle w:val="FootnoteReference"/>
        </w:rPr>
        <w:footnoteRef/>
      </w:r>
      <w:r>
        <w:t xml:space="preserve">  Notice of Approval at Finding of Fact No. 60; </w:t>
      </w:r>
      <w:r>
        <w:rPr>
          <w:i/>
          <w:iCs/>
        </w:rPr>
        <w:t>see also</w:t>
      </w:r>
      <w:r>
        <w:t xml:space="preserve"> Commission Staff’s Recommendation on Final Disposition </w:t>
      </w:r>
      <w:r w:rsidR="008968A8">
        <w:t xml:space="preserve">at 1 and Memoranda of Jolie Mathis, Infrastructure Division, and Ethan Blanchard, Rate Regulation Division </w:t>
      </w:r>
      <w:r>
        <w:t>(Mar. 31, 2023)</w:t>
      </w:r>
      <w:r w:rsidR="00D26D59">
        <w:t>.</w:t>
      </w:r>
    </w:p>
  </w:footnote>
  <w:footnote w:id="8">
    <w:p w14:paraId="660EDB1F" w14:textId="67E73998" w:rsidR="00F60694" w:rsidRPr="00F60694" w:rsidRDefault="00F60694">
      <w:pPr>
        <w:pStyle w:val="FootnoteText"/>
      </w:pPr>
      <w:r w:rsidRPr="00F60694">
        <w:rPr>
          <w:rStyle w:val="FootnoteReference"/>
        </w:rPr>
        <w:footnoteRef/>
      </w:r>
      <w:r w:rsidRPr="00F60694">
        <w:t xml:space="preserve">  </w:t>
      </w:r>
      <w:r>
        <w:t xml:space="preserve">Notice of Approval at Findings of Fact Nos. </w:t>
      </w:r>
      <w:r w:rsidR="00532BF0">
        <w:t>47-55</w:t>
      </w:r>
      <w:r>
        <w:t xml:space="preserve">. </w:t>
      </w:r>
    </w:p>
  </w:footnote>
  <w:footnote w:id="9">
    <w:p w14:paraId="6F8A0E2A" w14:textId="2380E69D" w:rsidR="00EE324A" w:rsidRDefault="00EE324A">
      <w:pPr>
        <w:pStyle w:val="FootnoteText"/>
      </w:pPr>
      <w:r>
        <w:rPr>
          <w:rStyle w:val="FootnoteReference"/>
        </w:rPr>
        <w:footnoteRef/>
      </w:r>
      <w:r>
        <w:t xml:space="preserve">  </w:t>
      </w:r>
      <w:r>
        <w:rPr>
          <w:i/>
          <w:iCs/>
        </w:rPr>
        <w:t>Application of Solar Village Homeowners Association to Obtain a Water Certificate of Convenience and Necessity in Kerr County</w:t>
      </w:r>
      <w:r>
        <w:t>, Docket No. 50083,</w:t>
      </w:r>
      <w:r w:rsidR="00405346">
        <w:t xml:space="preserve"> Supplemental Application Information at Attachment 4 (Dec. 17, 2019).</w:t>
      </w:r>
      <w:r>
        <w:t xml:space="preserve">  </w:t>
      </w:r>
    </w:p>
  </w:footnote>
  <w:footnote w:id="10">
    <w:p w14:paraId="772D27A0" w14:textId="2474A4D4" w:rsidR="00405346" w:rsidRDefault="00405346">
      <w:pPr>
        <w:pStyle w:val="FootnoteText"/>
      </w:pPr>
      <w:r>
        <w:rPr>
          <w:rStyle w:val="FootnoteReference"/>
        </w:rPr>
        <w:footnoteRef/>
      </w:r>
      <w:r>
        <w:t xml:space="preserve">  </w:t>
      </w:r>
      <w:r>
        <w:rPr>
          <w:i/>
          <w:iCs/>
        </w:rPr>
        <w:t>Id</w:t>
      </w:r>
      <w:r>
        <w:t xml:space="preserve">., Commission Staff’s Final Recommendation </w:t>
      </w:r>
      <w:r w:rsidR="0053142F">
        <w:t xml:space="preserve">at Memorandum of Roshan Pokhrel, Infrastructure Division, and Fred Bednarski, Rate Regulation Division </w:t>
      </w:r>
      <w:r>
        <w:t xml:space="preserve">(Jul. 6, 2020) and Notice of Approval at Finding of Fact No. 45 (Oct. 19, 2020). </w:t>
      </w:r>
    </w:p>
  </w:footnote>
  <w:footnote w:id="11">
    <w:p w14:paraId="0B8AAE37" w14:textId="0246C3B1" w:rsidR="00405346" w:rsidRDefault="00405346">
      <w:pPr>
        <w:pStyle w:val="FootnoteText"/>
      </w:pPr>
      <w:r>
        <w:rPr>
          <w:rStyle w:val="FootnoteReference"/>
        </w:rPr>
        <w:footnoteRef/>
      </w:r>
      <w:r>
        <w:t xml:space="preserve">  </w:t>
      </w:r>
      <w:r>
        <w:rPr>
          <w:i/>
          <w:iCs/>
        </w:rPr>
        <w:t>Id</w:t>
      </w:r>
      <w:r>
        <w:t xml:space="preserve">., Notice of Approval at Findings of Fact Nos. 42-45. </w:t>
      </w:r>
    </w:p>
  </w:footnote>
  <w:footnote w:id="12">
    <w:p w14:paraId="10C59E5E" w14:textId="7B3FF02F" w:rsidR="005F0C5A" w:rsidRDefault="005F0C5A">
      <w:pPr>
        <w:pStyle w:val="FootnoteText"/>
      </w:pPr>
      <w:r>
        <w:rPr>
          <w:rStyle w:val="FootnoteReference"/>
        </w:rPr>
        <w:footnoteRef/>
      </w:r>
      <w:r>
        <w:t xml:space="preserve">  Joint Motion to Admit Evidence and Proposed Notice of Approval (Apr. 26, 2023). </w:t>
      </w:r>
    </w:p>
  </w:footnote>
  <w:footnote w:id="13">
    <w:p w14:paraId="491F89BC" w14:textId="5F23252F" w:rsidR="005F0C5A" w:rsidRPr="005F0C5A" w:rsidRDefault="005F0C5A">
      <w:pPr>
        <w:pStyle w:val="FootnoteText"/>
      </w:pPr>
      <w:r>
        <w:rPr>
          <w:rStyle w:val="FootnoteReference"/>
        </w:rPr>
        <w:footnoteRef/>
      </w:r>
      <w:r>
        <w:t xml:space="preserve">  </w:t>
      </w:r>
      <w:r>
        <w:rPr>
          <w:i/>
          <w:iCs/>
        </w:rPr>
        <w:t>Gray v. Turner</w:t>
      </w:r>
      <w:r>
        <w:t>, 807 S.W.2d 818, 823 (Tex.App.—Amarillo 1991, no pet.)</w:t>
      </w:r>
      <w:r w:rsidR="0053142F">
        <w:t>.</w:t>
      </w:r>
    </w:p>
  </w:footnote>
  <w:footnote w:id="14">
    <w:p w14:paraId="4CB2946D" w14:textId="3792D0D5" w:rsidR="005F0C5A" w:rsidRDefault="005F0C5A">
      <w:pPr>
        <w:pStyle w:val="FootnoteText"/>
      </w:pPr>
      <w:r>
        <w:rPr>
          <w:rStyle w:val="FootnoteReference"/>
        </w:rPr>
        <w:footnoteRef/>
      </w:r>
      <w:r>
        <w:t xml:space="preserve">  </w:t>
      </w:r>
      <w:r>
        <w:rPr>
          <w:i/>
          <w:iCs/>
        </w:rPr>
        <w:t>Id</w:t>
      </w:r>
      <w:r>
        <w:t xml:space="preserve">. </w:t>
      </w:r>
    </w:p>
  </w:footnote>
  <w:footnote w:id="15">
    <w:p w14:paraId="5538C2EC" w14:textId="1F8EA45E" w:rsidR="0085498A" w:rsidRDefault="0085498A">
      <w:pPr>
        <w:pStyle w:val="FootnoteText"/>
      </w:pPr>
      <w:r>
        <w:rPr>
          <w:rStyle w:val="FootnoteReference"/>
        </w:rPr>
        <w:footnoteRef/>
      </w:r>
      <w:r>
        <w:t xml:space="preserve">  </w:t>
      </w:r>
      <w:r>
        <w:rPr>
          <w:i/>
          <w:iCs/>
        </w:rPr>
        <w:t>Thomas &amp; Lewin Associates, Inc. v. Tex. Health and Human Service Comm’n</w:t>
      </w:r>
      <w:r>
        <w:t xml:space="preserve">, 2019 WL 2384130 </w:t>
      </w:r>
      <w:r w:rsidR="00403C11">
        <w:t xml:space="preserve">at *5 </w:t>
      </w:r>
      <w:r>
        <w:t xml:space="preserve">(Tex.App.—Austin 2019). </w:t>
      </w:r>
    </w:p>
  </w:footnote>
  <w:footnote w:id="16">
    <w:p w14:paraId="42E05377" w14:textId="705B5316" w:rsidR="001B600B" w:rsidRPr="001B600B" w:rsidRDefault="001B600B">
      <w:pPr>
        <w:pStyle w:val="FootnoteText"/>
      </w:pPr>
      <w:r>
        <w:rPr>
          <w:rStyle w:val="FootnoteReference"/>
        </w:rPr>
        <w:footnoteRef/>
      </w:r>
      <w:r>
        <w:t xml:space="preserve">  </w:t>
      </w:r>
      <w:r>
        <w:rPr>
          <w:i/>
          <w:iCs/>
        </w:rPr>
        <w:t>Andrews</w:t>
      </w:r>
      <w:r>
        <w:t xml:space="preserve">, 702 S.W.2d at </w:t>
      </w:r>
      <w:r w:rsidR="0052697E">
        <w:t>586</w:t>
      </w:r>
      <w:r>
        <w:t>.</w:t>
      </w:r>
    </w:p>
  </w:footnote>
  <w:footnote w:id="17">
    <w:p w14:paraId="1DF3AB83" w14:textId="3D853BCF" w:rsidR="00C51CCC" w:rsidRPr="002B36D2" w:rsidRDefault="00C51CCC">
      <w:pPr>
        <w:pStyle w:val="FootnoteText"/>
      </w:pPr>
      <w:r>
        <w:rPr>
          <w:rStyle w:val="FootnoteReference"/>
        </w:rPr>
        <w:footnoteRef/>
      </w:r>
      <w:r w:rsidR="002B36D2">
        <w:t xml:space="preserve">  </w:t>
      </w:r>
      <w:r w:rsidR="002B36D2">
        <w:rPr>
          <w:i/>
          <w:iCs/>
        </w:rPr>
        <w:t>Gray</w:t>
      </w:r>
      <w:r w:rsidR="002B36D2">
        <w:t xml:space="preserve">, 807 S.W.2d at 823 (citing to </w:t>
      </w:r>
      <w:r w:rsidR="002B36D2">
        <w:rPr>
          <w:i/>
          <w:iCs/>
        </w:rPr>
        <w:t>Dikeman v. Snell</w:t>
      </w:r>
      <w:r w:rsidR="002B36D2">
        <w:t xml:space="preserve">, 490 S.W.2d 183 (Tex. 1973) and </w:t>
      </w:r>
      <w:r w:rsidR="002B36D2">
        <w:rPr>
          <w:i/>
          <w:iCs/>
        </w:rPr>
        <w:t>Seago v. Bell</w:t>
      </w:r>
      <w:r w:rsidR="002B36D2">
        <w:t xml:space="preserve">, 764 S.W.2d 362 (Tex.App.—Beaumont 1989, </w:t>
      </w:r>
      <w:r w:rsidR="002B36D2">
        <w:rPr>
          <w:i/>
          <w:iCs/>
        </w:rPr>
        <w:t>no writ</w:t>
      </w:r>
      <w:r w:rsidR="002B36D2">
        <w:t>).</w:t>
      </w:r>
    </w:p>
  </w:footnote>
  <w:footnote w:id="18">
    <w:p w14:paraId="1E70CD83" w14:textId="425D99F2" w:rsidR="00C7313F" w:rsidRPr="00816556" w:rsidRDefault="00C7313F" w:rsidP="00C7313F">
      <w:pPr>
        <w:pStyle w:val="FootnoteText"/>
      </w:pPr>
      <w:r>
        <w:rPr>
          <w:rStyle w:val="FootnoteReference"/>
        </w:rPr>
        <w:footnoteRef/>
      </w:r>
      <w:r>
        <w:t xml:space="preserve">  </w:t>
      </w:r>
      <w:r>
        <w:rPr>
          <w:i/>
          <w:iCs/>
        </w:rPr>
        <w:t>McClain</w:t>
      </w:r>
      <w:r>
        <w:t xml:space="preserve">, 353 S.W.2d at 334. </w:t>
      </w:r>
    </w:p>
  </w:footnote>
  <w:footnote w:id="19">
    <w:p w14:paraId="179B8C3B" w14:textId="77777777" w:rsidR="005530C0" w:rsidRDefault="005530C0" w:rsidP="005530C0">
      <w:pPr>
        <w:pStyle w:val="FootnoteText"/>
      </w:pPr>
      <w:r>
        <w:rPr>
          <w:rStyle w:val="FootnoteReference"/>
        </w:rPr>
        <w:footnoteRef/>
      </w:r>
      <w:r>
        <w:t xml:space="preserve">  </w:t>
      </w:r>
      <w:r w:rsidRPr="00FA00B4">
        <w:rPr>
          <w:i/>
          <w:iCs/>
        </w:rPr>
        <w:t>Application of Beachview Acres Water Association and Hilco United Services, Inc. dba Hilco H20 for Sale, Transfer, or Merger of Facilities and Certificate Rights in Hill County</w:t>
      </w:r>
      <w:r>
        <w:t xml:space="preserve">, Docket No. 51549, Order No. 13-Reopening Record and Admitting Additional Evidence (Jun. 8, 2022).       </w:t>
      </w:r>
    </w:p>
  </w:footnote>
  <w:footnote w:id="20">
    <w:p w14:paraId="32C26D69" w14:textId="406D4953" w:rsidR="005D6081" w:rsidRDefault="005D6081">
      <w:pPr>
        <w:pStyle w:val="FootnoteText"/>
      </w:pPr>
      <w:r>
        <w:rPr>
          <w:rStyle w:val="FootnoteReference"/>
        </w:rPr>
        <w:footnoteRef/>
      </w:r>
      <w:r>
        <w:t xml:space="preserve">  </w:t>
      </w:r>
      <w:r>
        <w:rPr>
          <w:i/>
          <w:iCs/>
        </w:rPr>
        <w:t>Id</w:t>
      </w:r>
      <w:r>
        <w:t xml:space="preserve">., Motion to Reopen Record and Admit Tariff as Additional Evidence (Jun. 7, 2022). </w:t>
      </w:r>
    </w:p>
  </w:footnote>
  <w:footnote w:id="21">
    <w:p w14:paraId="32ED1DA1" w14:textId="33A10C09" w:rsidR="00860754" w:rsidRDefault="00860754">
      <w:pPr>
        <w:pStyle w:val="FootnoteText"/>
      </w:pPr>
      <w:r>
        <w:rPr>
          <w:rStyle w:val="FootnoteReference"/>
        </w:rPr>
        <w:footnoteRef/>
      </w:r>
      <w:r>
        <w:t xml:space="preserve">  </w:t>
      </w:r>
      <w:r w:rsidRPr="00860754">
        <w:rPr>
          <w:i/>
          <w:iCs/>
        </w:rPr>
        <w:t xml:space="preserve">Petition </w:t>
      </w:r>
      <w:r>
        <w:rPr>
          <w:i/>
          <w:iCs/>
        </w:rPr>
        <w:t>o</w:t>
      </w:r>
      <w:r w:rsidRPr="00860754">
        <w:rPr>
          <w:i/>
          <w:iCs/>
        </w:rPr>
        <w:t>f H</w:t>
      </w:r>
      <w:r>
        <w:rPr>
          <w:i/>
          <w:iCs/>
        </w:rPr>
        <w:t>MI</w:t>
      </w:r>
      <w:r w:rsidRPr="00860754">
        <w:rPr>
          <w:i/>
          <w:iCs/>
        </w:rPr>
        <w:t>-Oak Grove L</w:t>
      </w:r>
      <w:r>
        <w:rPr>
          <w:i/>
          <w:iCs/>
        </w:rPr>
        <w:t>LC</w:t>
      </w:r>
      <w:r w:rsidRPr="00860754">
        <w:rPr>
          <w:i/>
          <w:iCs/>
        </w:rPr>
        <w:t xml:space="preserve"> </w:t>
      </w:r>
      <w:r>
        <w:rPr>
          <w:i/>
          <w:iCs/>
        </w:rPr>
        <w:t>t</w:t>
      </w:r>
      <w:r w:rsidRPr="00860754">
        <w:rPr>
          <w:i/>
          <w:iCs/>
        </w:rPr>
        <w:t xml:space="preserve">o Amend Bethesda Water Supply Corporation's Certificate </w:t>
      </w:r>
      <w:r>
        <w:rPr>
          <w:i/>
          <w:iCs/>
        </w:rPr>
        <w:t>o</w:t>
      </w:r>
      <w:r w:rsidRPr="00860754">
        <w:rPr>
          <w:i/>
          <w:iCs/>
        </w:rPr>
        <w:t xml:space="preserve">f Convenience </w:t>
      </w:r>
      <w:r>
        <w:rPr>
          <w:i/>
          <w:iCs/>
        </w:rPr>
        <w:t>a</w:t>
      </w:r>
      <w:r w:rsidRPr="00860754">
        <w:rPr>
          <w:i/>
          <w:iCs/>
        </w:rPr>
        <w:t xml:space="preserve">nd Necessity </w:t>
      </w:r>
      <w:r>
        <w:rPr>
          <w:i/>
          <w:iCs/>
        </w:rPr>
        <w:t>i</w:t>
      </w:r>
      <w:r w:rsidRPr="00860754">
        <w:rPr>
          <w:i/>
          <w:iCs/>
        </w:rPr>
        <w:t xml:space="preserve">n Tarrant County </w:t>
      </w:r>
      <w:r>
        <w:rPr>
          <w:i/>
          <w:iCs/>
        </w:rPr>
        <w:t>b</w:t>
      </w:r>
      <w:r w:rsidRPr="00860754">
        <w:rPr>
          <w:i/>
          <w:iCs/>
        </w:rPr>
        <w:t>y Expedited Release</w:t>
      </w:r>
      <w:r>
        <w:t xml:space="preserve">, Docket No. 52411, Order No. 10 Granting Motion to Reopen Record and Rescinding Order Nos. 4 and 6 and Notice of Approval </w:t>
      </w:r>
      <w:proofErr w:type="gramStart"/>
      <w:r>
        <w:t>Making a Determination</w:t>
      </w:r>
      <w:proofErr w:type="gramEnd"/>
      <w:r>
        <w:t xml:space="preserve"> on Compensation</w:t>
      </w:r>
      <w:r w:rsidR="00403C11">
        <w:t xml:space="preserve"> (Oct. 18, 2022)</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5B06D"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439447224">
    <w:abstractNumId w:val="10"/>
  </w:num>
  <w:num w:numId="2" w16cid:durableId="1886218125">
    <w:abstractNumId w:val="24"/>
  </w:num>
  <w:num w:numId="3" w16cid:durableId="1447575890">
    <w:abstractNumId w:val="15"/>
  </w:num>
  <w:num w:numId="4" w16cid:durableId="1082751928">
    <w:abstractNumId w:val="12"/>
  </w:num>
  <w:num w:numId="5" w16cid:durableId="442189172">
    <w:abstractNumId w:val="23"/>
  </w:num>
  <w:num w:numId="6" w16cid:durableId="1410469602">
    <w:abstractNumId w:val="22"/>
  </w:num>
  <w:num w:numId="7" w16cid:durableId="1431461881">
    <w:abstractNumId w:val="16"/>
  </w:num>
  <w:num w:numId="8" w16cid:durableId="269287610">
    <w:abstractNumId w:val="17"/>
  </w:num>
  <w:num w:numId="9" w16cid:durableId="5713519">
    <w:abstractNumId w:val="20"/>
  </w:num>
  <w:num w:numId="10" w16cid:durableId="1029530196">
    <w:abstractNumId w:val="21"/>
  </w:num>
  <w:num w:numId="11" w16cid:durableId="618798251">
    <w:abstractNumId w:val="13"/>
  </w:num>
  <w:num w:numId="12" w16cid:durableId="1248811654">
    <w:abstractNumId w:val="19"/>
  </w:num>
  <w:num w:numId="13" w16cid:durableId="168179347">
    <w:abstractNumId w:val="9"/>
  </w:num>
  <w:num w:numId="14" w16cid:durableId="925501630">
    <w:abstractNumId w:val="7"/>
  </w:num>
  <w:num w:numId="15" w16cid:durableId="2130200326">
    <w:abstractNumId w:val="6"/>
  </w:num>
  <w:num w:numId="16" w16cid:durableId="919174196">
    <w:abstractNumId w:val="5"/>
  </w:num>
  <w:num w:numId="17" w16cid:durableId="1182745321">
    <w:abstractNumId w:val="4"/>
  </w:num>
  <w:num w:numId="18" w16cid:durableId="1873810795">
    <w:abstractNumId w:val="8"/>
  </w:num>
  <w:num w:numId="19" w16cid:durableId="808984980">
    <w:abstractNumId w:val="3"/>
  </w:num>
  <w:num w:numId="20" w16cid:durableId="51277286">
    <w:abstractNumId w:val="2"/>
  </w:num>
  <w:num w:numId="21" w16cid:durableId="1420785011">
    <w:abstractNumId w:val="1"/>
  </w:num>
  <w:num w:numId="22" w16cid:durableId="967587380">
    <w:abstractNumId w:val="0"/>
  </w:num>
  <w:num w:numId="23" w16cid:durableId="1989360705">
    <w:abstractNumId w:val="11"/>
  </w:num>
  <w:num w:numId="24" w16cid:durableId="1791708925">
    <w:abstractNumId w:val="14"/>
  </w:num>
  <w:num w:numId="25" w16cid:durableId="17588212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64B"/>
    <w:rsid w:val="000008E2"/>
    <w:rsid w:val="0000107F"/>
    <w:rsid w:val="000038EE"/>
    <w:rsid w:val="00003FE4"/>
    <w:rsid w:val="00006869"/>
    <w:rsid w:val="00010C7C"/>
    <w:rsid w:val="00011A9B"/>
    <w:rsid w:val="000134BB"/>
    <w:rsid w:val="00014359"/>
    <w:rsid w:val="00014833"/>
    <w:rsid w:val="00015160"/>
    <w:rsid w:val="00015C32"/>
    <w:rsid w:val="00016F1F"/>
    <w:rsid w:val="00022FA6"/>
    <w:rsid w:val="000233F8"/>
    <w:rsid w:val="000274E7"/>
    <w:rsid w:val="00030E0B"/>
    <w:rsid w:val="000357D5"/>
    <w:rsid w:val="00035DE9"/>
    <w:rsid w:val="000406D7"/>
    <w:rsid w:val="00041B32"/>
    <w:rsid w:val="00041F8A"/>
    <w:rsid w:val="000434C0"/>
    <w:rsid w:val="00047A27"/>
    <w:rsid w:val="00050EC3"/>
    <w:rsid w:val="00054407"/>
    <w:rsid w:val="000577AB"/>
    <w:rsid w:val="00061E7A"/>
    <w:rsid w:val="000621BB"/>
    <w:rsid w:val="0006297B"/>
    <w:rsid w:val="00063014"/>
    <w:rsid w:val="00064A66"/>
    <w:rsid w:val="0006743A"/>
    <w:rsid w:val="00071BFA"/>
    <w:rsid w:val="000722C0"/>
    <w:rsid w:val="00072FE5"/>
    <w:rsid w:val="00073322"/>
    <w:rsid w:val="00074832"/>
    <w:rsid w:val="000767DB"/>
    <w:rsid w:val="00077EC5"/>
    <w:rsid w:val="0008265B"/>
    <w:rsid w:val="00082793"/>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32B4"/>
    <w:rsid w:val="000C4031"/>
    <w:rsid w:val="000C6535"/>
    <w:rsid w:val="000C6A4A"/>
    <w:rsid w:val="000C6AF9"/>
    <w:rsid w:val="000D3CDD"/>
    <w:rsid w:val="000D3DDB"/>
    <w:rsid w:val="000D54AD"/>
    <w:rsid w:val="000D5F63"/>
    <w:rsid w:val="000E26FE"/>
    <w:rsid w:val="000E6961"/>
    <w:rsid w:val="000F0183"/>
    <w:rsid w:val="000F1B5D"/>
    <w:rsid w:val="000F1F40"/>
    <w:rsid w:val="000F2CCD"/>
    <w:rsid w:val="000F6BEB"/>
    <w:rsid w:val="000F7F9C"/>
    <w:rsid w:val="00100E47"/>
    <w:rsid w:val="00101DD7"/>
    <w:rsid w:val="00101E9A"/>
    <w:rsid w:val="0010359F"/>
    <w:rsid w:val="00104BD4"/>
    <w:rsid w:val="001067EE"/>
    <w:rsid w:val="00106A78"/>
    <w:rsid w:val="00110861"/>
    <w:rsid w:val="001171A2"/>
    <w:rsid w:val="00121F46"/>
    <w:rsid w:val="00122A95"/>
    <w:rsid w:val="00122C66"/>
    <w:rsid w:val="001248E8"/>
    <w:rsid w:val="00124FEB"/>
    <w:rsid w:val="00125007"/>
    <w:rsid w:val="00125C6D"/>
    <w:rsid w:val="00127224"/>
    <w:rsid w:val="001276F3"/>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3EA2"/>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2691"/>
    <w:rsid w:val="00194DC4"/>
    <w:rsid w:val="00195608"/>
    <w:rsid w:val="0019726B"/>
    <w:rsid w:val="00197531"/>
    <w:rsid w:val="001A0AE2"/>
    <w:rsid w:val="001A2D16"/>
    <w:rsid w:val="001A4E3E"/>
    <w:rsid w:val="001A51AA"/>
    <w:rsid w:val="001A5D0B"/>
    <w:rsid w:val="001A6E57"/>
    <w:rsid w:val="001A7BD4"/>
    <w:rsid w:val="001A7DBE"/>
    <w:rsid w:val="001B0D9A"/>
    <w:rsid w:val="001B175B"/>
    <w:rsid w:val="001B1A66"/>
    <w:rsid w:val="001B4D69"/>
    <w:rsid w:val="001B52FD"/>
    <w:rsid w:val="001B600B"/>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4AC5"/>
    <w:rsid w:val="001F5FDD"/>
    <w:rsid w:val="001F7450"/>
    <w:rsid w:val="00201516"/>
    <w:rsid w:val="0020243D"/>
    <w:rsid w:val="0020396D"/>
    <w:rsid w:val="00204274"/>
    <w:rsid w:val="002046FE"/>
    <w:rsid w:val="0020471E"/>
    <w:rsid w:val="0020473E"/>
    <w:rsid w:val="002053CD"/>
    <w:rsid w:val="00206549"/>
    <w:rsid w:val="0020799A"/>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670A1"/>
    <w:rsid w:val="00270C7B"/>
    <w:rsid w:val="00271524"/>
    <w:rsid w:val="002720F6"/>
    <w:rsid w:val="00272208"/>
    <w:rsid w:val="00273FF4"/>
    <w:rsid w:val="0027632D"/>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7BF"/>
    <w:rsid w:val="002A4C69"/>
    <w:rsid w:val="002B1424"/>
    <w:rsid w:val="002B1D45"/>
    <w:rsid w:val="002B1F18"/>
    <w:rsid w:val="002B36D2"/>
    <w:rsid w:val="002B52DF"/>
    <w:rsid w:val="002C213B"/>
    <w:rsid w:val="002C22C5"/>
    <w:rsid w:val="002C263C"/>
    <w:rsid w:val="002C4C90"/>
    <w:rsid w:val="002C4C99"/>
    <w:rsid w:val="002C4E1D"/>
    <w:rsid w:val="002C5D86"/>
    <w:rsid w:val="002D15E2"/>
    <w:rsid w:val="002D170C"/>
    <w:rsid w:val="002D2BDB"/>
    <w:rsid w:val="002D3A76"/>
    <w:rsid w:val="002D3B22"/>
    <w:rsid w:val="002D481E"/>
    <w:rsid w:val="002D4D18"/>
    <w:rsid w:val="002D4EF4"/>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2D10"/>
    <w:rsid w:val="003346A4"/>
    <w:rsid w:val="00334DB1"/>
    <w:rsid w:val="00336ACF"/>
    <w:rsid w:val="00340539"/>
    <w:rsid w:val="0034088B"/>
    <w:rsid w:val="00341410"/>
    <w:rsid w:val="00341854"/>
    <w:rsid w:val="003455B0"/>
    <w:rsid w:val="00353AD2"/>
    <w:rsid w:val="00356206"/>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0A7"/>
    <w:rsid w:val="003B7656"/>
    <w:rsid w:val="003C0C4B"/>
    <w:rsid w:val="003C0E04"/>
    <w:rsid w:val="003C6393"/>
    <w:rsid w:val="003D14F2"/>
    <w:rsid w:val="003D152A"/>
    <w:rsid w:val="003D1D6C"/>
    <w:rsid w:val="003E1385"/>
    <w:rsid w:val="003E180A"/>
    <w:rsid w:val="003E1AA5"/>
    <w:rsid w:val="003E36D7"/>
    <w:rsid w:val="003E4068"/>
    <w:rsid w:val="003E7A59"/>
    <w:rsid w:val="003F0A17"/>
    <w:rsid w:val="003F2F01"/>
    <w:rsid w:val="003F36BF"/>
    <w:rsid w:val="003F5FEC"/>
    <w:rsid w:val="003F6C56"/>
    <w:rsid w:val="003F72A0"/>
    <w:rsid w:val="003F7C27"/>
    <w:rsid w:val="0040188E"/>
    <w:rsid w:val="00402A00"/>
    <w:rsid w:val="00403B88"/>
    <w:rsid w:val="00403C11"/>
    <w:rsid w:val="004041FD"/>
    <w:rsid w:val="00404493"/>
    <w:rsid w:val="00405346"/>
    <w:rsid w:val="00406716"/>
    <w:rsid w:val="00411745"/>
    <w:rsid w:val="00412207"/>
    <w:rsid w:val="0041248F"/>
    <w:rsid w:val="0041768B"/>
    <w:rsid w:val="00422A05"/>
    <w:rsid w:val="004231B2"/>
    <w:rsid w:val="00423664"/>
    <w:rsid w:val="004259C2"/>
    <w:rsid w:val="0042733D"/>
    <w:rsid w:val="00431A63"/>
    <w:rsid w:val="00431DE8"/>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64C7"/>
    <w:rsid w:val="0047767A"/>
    <w:rsid w:val="00477AAF"/>
    <w:rsid w:val="00480E0A"/>
    <w:rsid w:val="00483D52"/>
    <w:rsid w:val="00485D02"/>
    <w:rsid w:val="00485D9D"/>
    <w:rsid w:val="00490341"/>
    <w:rsid w:val="004903C4"/>
    <w:rsid w:val="00490A9A"/>
    <w:rsid w:val="00492C92"/>
    <w:rsid w:val="004933EC"/>
    <w:rsid w:val="00493ADA"/>
    <w:rsid w:val="004964B1"/>
    <w:rsid w:val="00496685"/>
    <w:rsid w:val="004978DB"/>
    <w:rsid w:val="004A123E"/>
    <w:rsid w:val="004A25AE"/>
    <w:rsid w:val="004A4C04"/>
    <w:rsid w:val="004A7473"/>
    <w:rsid w:val="004A75FA"/>
    <w:rsid w:val="004B32E3"/>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796"/>
    <w:rsid w:val="0051080A"/>
    <w:rsid w:val="0051397A"/>
    <w:rsid w:val="00513C7B"/>
    <w:rsid w:val="00515B33"/>
    <w:rsid w:val="00517C97"/>
    <w:rsid w:val="00520070"/>
    <w:rsid w:val="005217D6"/>
    <w:rsid w:val="00522299"/>
    <w:rsid w:val="005236C8"/>
    <w:rsid w:val="005239EF"/>
    <w:rsid w:val="00524580"/>
    <w:rsid w:val="0052697E"/>
    <w:rsid w:val="0053142F"/>
    <w:rsid w:val="00532BF0"/>
    <w:rsid w:val="00535615"/>
    <w:rsid w:val="00535DF6"/>
    <w:rsid w:val="00536E38"/>
    <w:rsid w:val="005371FA"/>
    <w:rsid w:val="0054012D"/>
    <w:rsid w:val="00545504"/>
    <w:rsid w:val="00550CEB"/>
    <w:rsid w:val="005528A6"/>
    <w:rsid w:val="005530C0"/>
    <w:rsid w:val="00553B64"/>
    <w:rsid w:val="00553BD2"/>
    <w:rsid w:val="005544CE"/>
    <w:rsid w:val="00555E35"/>
    <w:rsid w:val="00556099"/>
    <w:rsid w:val="0056151D"/>
    <w:rsid w:val="005617AE"/>
    <w:rsid w:val="00564268"/>
    <w:rsid w:val="00565710"/>
    <w:rsid w:val="00566A31"/>
    <w:rsid w:val="00567753"/>
    <w:rsid w:val="005726A5"/>
    <w:rsid w:val="005740E2"/>
    <w:rsid w:val="005756FE"/>
    <w:rsid w:val="0057620A"/>
    <w:rsid w:val="00576B77"/>
    <w:rsid w:val="00580473"/>
    <w:rsid w:val="005830FD"/>
    <w:rsid w:val="00585A58"/>
    <w:rsid w:val="00586701"/>
    <w:rsid w:val="00587716"/>
    <w:rsid w:val="0059197A"/>
    <w:rsid w:val="0059201D"/>
    <w:rsid w:val="0059219F"/>
    <w:rsid w:val="00592F04"/>
    <w:rsid w:val="00595E32"/>
    <w:rsid w:val="00595FDD"/>
    <w:rsid w:val="0059639F"/>
    <w:rsid w:val="00596A01"/>
    <w:rsid w:val="00596DB2"/>
    <w:rsid w:val="005A27BA"/>
    <w:rsid w:val="005A31F1"/>
    <w:rsid w:val="005A3A98"/>
    <w:rsid w:val="005A446F"/>
    <w:rsid w:val="005A48CB"/>
    <w:rsid w:val="005A6305"/>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081"/>
    <w:rsid w:val="005D644A"/>
    <w:rsid w:val="005E02A7"/>
    <w:rsid w:val="005E0AD2"/>
    <w:rsid w:val="005E169D"/>
    <w:rsid w:val="005E19D8"/>
    <w:rsid w:val="005E2C48"/>
    <w:rsid w:val="005E60E3"/>
    <w:rsid w:val="005E77DC"/>
    <w:rsid w:val="005E7BE9"/>
    <w:rsid w:val="005F09CB"/>
    <w:rsid w:val="005F0C5A"/>
    <w:rsid w:val="005F1497"/>
    <w:rsid w:val="005F264E"/>
    <w:rsid w:val="005F3965"/>
    <w:rsid w:val="005F4E03"/>
    <w:rsid w:val="005F4F7A"/>
    <w:rsid w:val="005F51D2"/>
    <w:rsid w:val="005F53BE"/>
    <w:rsid w:val="005F5B01"/>
    <w:rsid w:val="005F7E4D"/>
    <w:rsid w:val="006017D7"/>
    <w:rsid w:val="0060359F"/>
    <w:rsid w:val="00607377"/>
    <w:rsid w:val="00607E30"/>
    <w:rsid w:val="0061015F"/>
    <w:rsid w:val="006102D3"/>
    <w:rsid w:val="006105A0"/>
    <w:rsid w:val="00610FF8"/>
    <w:rsid w:val="00612E0D"/>
    <w:rsid w:val="00612E40"/>
    <w:rsid w:val="00615565"/>
    <w:rsid w:val="006159E0"/>
    <w:rsid w:val="0061677C"/>
    <w:rsid w:val="0061684C"/>
    <w:rsid w:val="00621AF5"/>
    <w:rsid w:val="006228F4"/>
    <w:rsid w:val="006238FF"/>
    <w:rsid w:val="00630701"/>
    <w:rsid w:val="00633065"/>
    <w:rsid w:val="00637ABE"/>
    <w:rsid w:val="00641C47"/>
    <w:rsid w:val="00642894"/>
    <w:rsid w:val="0064292A"/>
    <w:rsid w:val="006470FE"/>
    <w:rsid w:val="00650A71"/>
    <w:rsid w:val="00652846"/>
    <w:rsid w:val="00652F9E"/>
    <w:rsid w:val="00655557"/>
    <w:rsid w:val="006570BC"/>
    <w:rsid w:val="006617D8"/>
    <w:rsid w:val="00662506"/>
    <w:rsid w:val="0066299F"/>
    <w:rsid w:val="00662F0A"/>
    <w:rsid w:val="006639AD"/>
    <w:rsid w:val="006651F5"/>
    <w:rsid w:val="00665E8B"/>
    <w:rsid w:val="00666392"/>
    <w:rsid w:val="006667CC"/>
    <w:rsid w:val="006669B8"/>
    <w:rsid w:val="0066794B"/>
    <w:rsid w:val="00670549"/>
    <w:rsid w:val="00672B9B"/>
    <w:rsid w:val="00673F48"/>
    <w:rsid w:val="00676CA9"/>
    <w:rsid w:val="0067706E"/>
    <w:rsid w:val="006820A0"/>
    <w:rsid w:val="0068357B"/>
    <w:rsid w:val="00684873"/>
    <w:rsid w:val="00685FF0"/>
    <w:rsid w:val="00686CEE"/>
    <w:rsid w:val="0068771C"/>
    <w:rsid w:val="00687DD6"/>
    <w:rsid w:val="00690DFA"/>
    <w:rsid w:val="00691324"/>
    <w:rsid w:val="00692AD3"/>
    <w:rsid w:val="006937DA"/>
    <w:rsid w:val="006954A8"/>
    <w:rsid w:val="006956B2"/>
    <w:rsid w:val="006964B5"/>
    <w:rsid w:val="006A07CC"/>
    <w:rsid w:val="006A105D"/>
    <w:rsid w:val="006A6EC4"/>
    <w:rsid w:val="006B2768"/>
    <w:rsid w:val="006C2E8A"/>
    <w:rsid w:val="006C323B"/>
    <w:rsid w:val="006C364B"/>
    <w:rsid w:val="006C376D"/>
    <w:rsid w:val="006C7292"/>
    <w:rsid w:val="006D13DF"/>
    <w:rsid w:val="006D3B00"/>
    <w:rsid w:val="006D7DB2"/>
    <w:rsid w:val="006E011E"/>
    <w:rsid w:val="006E3070"/>
    <w:rsid w:val="006E6D50"/>
    <w:rsid w:val="006E72CB"/>
    <w:rsid w:val="006F3A4D"/>
    <w:rsid w:val="006F3BE8"/>
    <w:rsid w:val="006F4E41"/>
    <w:rsid w:val="00701F55"/>
    <w:rsid w:val="0070248E"/>
    <w:rsid w:val="00702788"/>
    <w:rsid w:val="007028F4"/>
    <w:rsid w:val="007035E0"/>
    <w:rsid w:val="00705419"/>
    <w:rsid w:val="00706EA0"/>
    <w:rsid w:val="0071409A"/>
    <w:rsid w:val="00714F70"/>
    <w:rsid w:val="007154AA"/>
    <w:rsid w:val="00721484"/>
    <w:rsid w:val="007271CB"/>
    <w:rsid w:val="00734222"/>
    <w:rsid w:val="00734354"/>
    <w:rsid w:val="00735FE0"/>
    <w:rsid w:val="00736E45"/>
    <w:rsid w:val="00737C26"/>
    <w:rsid w:val="00740AC8"/>
    <w:rsid w:val="00741FC0"/>
    <w:rsid w:val="00743CE0"/>
    <w:rsid w:val="007457D7"/>
    <w:rsid w:val="00745A19"/>
    <w:rsid w:val="00745F27"/>
    <w:rsid w:val="007467E4"/>
    <w:rsid w:val="0074682B"/>
    <w:rsid w:val="00746ACF"/>
    <w:rsid w:val="0075215A"/>
    <w:rsid w:val="00752756"/>
    <w:rsid w:val="00752A91"/>
    <w:rsid w:val="00752D09"/>
    <w:rsid w:val="0075420D"/>
    <w:rsid w:val="007548FB"/>
    <w:rsid w:val="0075505A"/>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872F6"/>
    <w:rsid w:val="00790D4A"/>
    <w:rsid w:val="00791658"/>
    <w:rsid w:val="007942D7"/>
    <w:rsid w:val="00794578"/>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0E68"/>
    <w:rsid w:val="007C1C19"/>
    <w:rsid w:val="007C1E62"/>
    <w:rsid w:val="007C26C6"/>
    <w:rsid w:val="007C4DF8"/>
    <w:rsid w:val="007C4FEB"/>
    <w:rsid w:val="007C5383"/>
    <w:rsid w:val="007C6863"/>
    <w:rsid w:val="007C7DCC"/>
    <w:rsid w:val="007D16F2"/>
    <w:rsid w:val="007D1BC5"/>
    <w:rsid w:val="007D21B3"/>
    <w:rsid w:val="007D2BF7"/>
    <w:rsid w:val="007D47BE"/>
    <w:rsid w:val="007D4FDA"/>
    <w:rsid w:val="007D5326"/>
    <w:rsid w:val="007D59AE"/>
    <w:rsid w:val="007D6179"/>
    <w:rsid w:val="007D6D32"/>
    <w:rsid w:val="007D6E3F"/>
    <w:rsid w:val="007D7351"/>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1DE"/>
    <w:rsid w:val="008075F2"/>
    <w:rsid w:val="008128DD"/>
    <w:rsid w:val="00813959"/>
    <w:rsid w:val="008146C8"/>
    <w:rsid w:val="00816556"/>
    <w:rsid w:val="00820C5D"/>
    <w:rsid w:val="00820EE7"/>
    <w:rsid w:val="00827E46"/>
    <w:rsid w:val="008307E7"/>
    <w:rsid w:val="00830801"/>
    <w:rsid w:val="00831051"/>
    <w:rsid w:val="0083168F"/>
    <w:rsid w:val="00841E24"/>
    <w:rsid w:val="00844885"/>
    <w:rsid w:val="008453D3"/>
    <w:rsid w:val="00846DD5"/>
    <w:rsid w:val="0085066B"/>
    <w:rsid w:val="00854779"/>
    <w:rsid w:val="0085498A"/>
    <w:rsid w:val="00854EC6"/>
    <w:rsid w:val="00855A5A"/>
    <w:rsid w:val="00857A7F"/>
    <w:rsid w:val="00860754"/>
    <w:rsid w:val="00861509"/>
    <w:rsid w:val="008647EB"/>
    <w:rsid w:val="00864EF0"/>
    <w:rsid w:val="00864EF1"/>
    <w:rsid w:val="00865E02"/>
    <w:rsid w:val="00866100"/>
    <w:rsid w:val="00871E82"/>
    <w:rsid w:val="00873122"/>
    <w:rsid w:val="0088061E"/>
    <w:rsid w:val="008814ED"/>
    <w:rsid w:val="00882F6F"/>
    <w:rsid w:val="008848A4"/>
    <w:rsid w:val="00885092"/>
    <w:rsid w:val="00885CD1"/>
    <w:rsid w:val="00885EE3"/>
    <w:rsid w:val="00886966"/>
    <w:rsid w:val="00887B3D"/>
    <w:rsid w:val="00890552"/>
    <w:rsid w:val="00890C04"/>
    <w:rsid w:val="008915EB"/>
    <w:rsid w:val="00893EAC"/>
    <w:rsid w:val="008947F4"/>
    <w:rsid w:val="008968A8"/>
    <w:rsid w:val="00897768"/>
    <w:rsid w:val="008A0CD3"/>
    <w:rsid w:val="008A1A0A"/>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4AA"/>
    <w:rsid w:val="008E1F6D"/>
    <w:rsid w:val="008E27CA"/>
    <w:rsid w:val="008E4957"/>
    <w:rsid w:val="008E5F5E"/>
    <w:rsid w:val="008E684E"/>
    <w:rsid w:val="008F1B72"/>
    <w:rsid w:val="008F36DB"/>
    <w:rsid w:val="008F5750"/>
    <w:rsid w:val="008F5A9F"/>
    <w:rsid w:val="00902872"/>
    <w:rsid w:val="00902AA5"/>
    <w:rsid w:val="00903852"/>
    <w:rsid w:val="00906028"/>
    <w:rsid w:val="00906C49"/>
    <w:rsid w:val="00911CA1"/>
    <w:rsid w:val="00911FFD"/>
    <w:rsid w:val="00912358"/>
    <w:rsid w:val="009129C2"/>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06BE"/>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977E0"/>
    <w:rsid w:val="009A0168"/>
    <w:rsid w:val="009A2DA6"/>
    <w:rsid w:val="009A498F"/>
    <w:rsid w:val="009A6563"/>
    <w:rsid w:val="009A6AA5"/>
    <w:rsid w:val="009A6ADB"/>
    <w:rsid w:val="009A7E13"/>
    <w:rsid w:val="009B0C68"/>
    <w:rsid w:val="009B0D86"/>
    <w:rsid w:val="009B2BE7"/>
    <w:rsid w:val="009B303C"/>
    <w:rsid w:val="009B3451"/>
    <w:rsid w:val="009B380E"/>
    <w:rsid w:val="009B4782"/>
    <w:rsid w:val="009B61E3"/>
    <w:rsid w:val="009B76BE"/>
    <w:rsid w:val="009C1443"/>
    <w:rsid w:val="009C1544"/>
    <w:rsid w:val="009C2C41"/>
    <w:rsid w:val="009C690A"/>
    <w:rsid w:val="009D1DF2"/>
    <w:rsid w:val="009D63CE"/>
    <w:rsid w:val="009D7252"/>
    <w:rsid w:val="009D754C"/>
    <w:rsid w:val="009E2D99"/>
    <w:rsid w:val="009E324E"/>
    <w:rsid w:val="009E3A90"/>
    <w:rsid w:val="009E4865"/>
    <w:rsid w:val="009E53B8"/>
    <w:rsid w:val="009E62A8"/>
    <w:rsid w:val="009E68FE"/>
    <w:rsid w:val="009F3C45"/>
    <w:rsid w:val="009F4CE6"/>
    <w:rsid w:val="009F5173"/>
    <w:rsid w:val="009F5A3B"/>
    <w:rsid w:val="009F6C74"/>
    <w:rsid w:val="00A0253A"/>
    <w:rsid w:val="00A05602"/>
    <w:rsid w:val="00A0741C"/>
    <w:rsid w:val="00A1058B"/>
    <w:rsid w:val="00A12B9D"/>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D79"/>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28B"/>
    <w:rsid w:val="00A82BFB"/>
    <w:rsid w:val="00A851D8"/>
    <w:rsid w:val="00A860DA"/>
    <w:rsid w:val="00A86A03"/>
    <w:rsid w:val="00A933E7"/>
    <w:rsid w:val="00A9549A"/>
    <w:rsid w:val="00A95704"/>
    <w:rsid w:val="00A96D39"/>
    <w:rsid w:val="00A96F2C"/>
    <w:rsid w:val="00A97939"/>
    <w:rsid w:val="00AA1D87"/>
    <w:rsid w:val="00AA1EF3"/>
    <w:rsid w:val="00AA212D"/>
    <w:rsid w:val="00AA4054"/>
    <w:rsid w:val="00AA4397"/>
    <w:rsid w:val="00AA4B70"/>
    <w:rsid w:val="00AA4BF1"/>
    <w:rsid w:val="00AB2166"/>
    <w:rsid w:val="00AB5C83"/>
    <w:rsid w:val="00AC1369"/>
    <w:rsid w:val="00AC3AFD"/>
    <w:rsid w:val="00AC4F67"/>
    <w:rsid w:val="00AC5BD9"/>
    <w:rsid w:val="00AC7361"/>
    <w:rsid w:val="00AD1E9F"/>
    <w:rsid w:val="00AD27C1"/>
    <w:rsid w:val="00AD6955"/>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172A5"/>
    <w:rsid w:val="00B217A2"/>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66B8D"/>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49A"/>
    <w:rsid w:val="00BC010F"/>
    <w:rsid w:val="00BC1167"/>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79B"/>
    <w:rsid w:val="00BF63C1"/>
    <w:rsid w:val="00BF68C9"/>
    <w:rsid w:val="00C04712"/>
    <w:rsid w:val="00C04D91"/>
    <w:rsid w:val="00C0772B"/>
    <w:rsid w:val="00C103C4"/>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4E0C"/>
    <w:rsid w:val="00C4658E"/>
    <w:rsid w:val="00C472A2"/>
    <w:rsid w:val="00C51CCC"/>
    <w:rsid w:val="00C541E5"/>
    <w:rsid w:val="00C55671"/>
    <w:rsid w:val="00C603C3"/>
    <w:rsid w:val="00C61F66"/>
    <w:rsid w:val="00C64532"/>
    <w:rsid w:val="00C70BB4"/>
    <w:rsid w:val="00C7196E"/>
    <w:rsid w:val="00C7313F"/>
    <w:rsid w:val="00C739E0"/>
    <w:rsid w:val="00C73E7A"/>
    <w:rsid w:val="00C76D48"/>
    <w:rsid w:val="00C81AD0"/>
    <w:rsid w:val="00C9669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6379"/>
    <w:rsid w:val="00CC786F"/>
    <w:rsid w:val="00CD13A9"/>
    <w:rsid w:val="00CD16E5"/>
    <w:rsid w:val="00CD56F1"/>
    <w:rsid w:val="00CD7193"/>
    <w:rsid w:val="00CE13F6"/>
    <w:rsid w:val="00CE16ED"/>
    <w:rsid w:val="00CE2ED5"/>
    <w:rsid w:val="00CE6EF2"/>
    <w:rsid w:val="00CE7B70"/>
    <w:rsid w:val="00CF0D77"/>
    <w:rsid w:val="00CF24C6"/>
    <w:rsid w:val="00D005C3"/>
    <w:rsid w:val="00D01DC2"/>
    <w:rsid w:val="00D03766"/>
    <w:rsid w:val="00D07F00"/>
    <w:rsid w:val="00D11758"/>
    <w:rsid w:val="00D12BA5"/>
    <w:rsid w:val="00D14840"/>
    <w:rsid w:val="00D14F1D"/>
    <w:rsid w:val="00D207FC"/>
    <w:rsid w:val="00D21D49"/>
    <w:rsid w:val="00D2238A"/>
    <w:rsid w:val="00D22841"/>
    <w:rsid w:val="00D2284D"/>
    <w:rsid w:val="00D2442A"/>
    <w:rsid w:val="00D26D59"/>
    <w:rsid w:val="00D30C72"/>
    <w:rsid w:val="00D3180F"/>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263"/>
    <w:rsid w:val="00D66AF2"/>
    <w:rsid w:val="00D67195"/>
    <w:rsid w:val="00D70C6A"/>
    <w:rsid w:val="00D728E4"/>
    <w:rsid w:val="00D7340F"/>
    <w:rsid w:val="00D75428"/>
    <w:rsid w:val="00D75599"/>
    <w:rsid w:val="00D80559"/>
    <w:rsid w:val="00D824E7"/>
    <w:rsid w:val="00D82734"/>
    <w:rsid w:val="00D8371B"/>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6AED"/>
    <w:rsid w:val="00DA7715"/>
    <w:rsid w:val="00DA790F"/>
    <w:rsid w:val="00DB052A"/>
    <w:rsid w:val="00DB09C5"/>
    <w:rsid w:val="00DB2527"/>
    <w:rsid w:val="00DB2B0A"/>
    <w:rsid w:val="00DB2C20"/>
    <w:rsid w:val="00DB2EEA"/>
    <w:rsid w:val="00DB60CA"/>
    <w:rsid w:val="00DB61F8"/>
    <w:rsid w:val="00DB7A21"/>
    <w:rsid w:val="00DC46F6"/>
    <w:rsid w:val="00DC49CC"/>
    <w:rsid w:val="00DC60C5"/>
    <w:rsid w:val="00DD024A"/>
    <w:rsid w:val="00DD14FB"/>
    <w:rsid w:val="00DD413B"/>
    <w:rsid w:val="00DD450D"/>
    <w:rsid w:val="00DE2E28"/>
    <w:rsid w:val="00DE430A"/>
    <w:rsid w:val="00DE447F"/>
    <w:rsid w:val="00DE4C2C"/>
    <w:rsid w:val="00DE544C"/>
    <w:rsid w:val="00DE5974"/>
    <w:rsid w:val="00DE623E"/>
    <w:rsid w:val="00DF0679"/>
    <w:rsid w:val="00DF17B9"/>
    <w:rsid w:val="00DF24CE"/>
    <w:rsid w:val="00DF28E3"/>
    <w:rsid w:val="00DF4741"/>
    <w:rsid w:val="00DF5170"/>
    <w:rsid w:val="00DF60AA"/>
    <w:rsid w:val="00E01327"/>
    <w:rsid w:val="00E05101"/>
    <w:rsid w:val="00E065E4"/>
    <w:rsid w:val="00E10C21"/>
    <w:rsid w:val="00E11CA2"/>
    <w:rsid w:val="00E14280"/>
    <w:rsid w:val="00E1487D"/>
    <w:rsid w:val="00E15ED5"/>
    <w:rsid w:val="00E20C21"/>
    <w:rsid w:val="00E2270D"/>
    <w:rsid w:val="00E22B2A"/>
    <w:rsid w:val="00E22DA1"/>
    <w:rsid w:val="00E23F6B"/>
    <w:rsid w:val="00E24DE5"/>
    <w:rsid w:val="00E30058"/>
    <w:rsid w:val="00E35B5D"/>
    <w:rsid w:val="00E36398"/>
    <w:rsid w:val="00E363C9"/>
    <w:rsid w:val="00E41E0C"/>
    <w:rsid w:val="00E41EC3"/>
    <w:rsid w:val="00E46C07"/>
    <w:rsid w:val="00E47B16"/>
    <w:rsid w:val="00E50247"/>
    <w:rsid w:val="00E50E56"/>
    <w:rsid w:val="00E5280E"/>
    <w:rsid w:val="00E558F3"/>
    <w:rsid w:val="00E560FF"/>
    <w:rsid w:val="00E57B0D"/>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6EC"/>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24A"/>
    <w:rsid w:val="00EE349A"/>
    <w:rsid w:val="00EE3C61"/>
    <w:rsid w:val="00EE6338"/>
    <w:rsid w:val="00EE6EF1"/>
    <w:rsid w:val="00EE70E9"/>
    <w:rsid w:val="00EE7133"/>
    <w:rsid w:val="00EE7B18"/>
    <w:rsid w:val="00EF39CA"/>
    <w:rsid w:val="00EF68E8"/>
    <w:rsid w:val="00EF7381"/>
    <w:rsid w:val="00EF7778"/>
    <w:rsid w:val="00F013C0"/>
    <w:rsid w:val="00F06042"/>
    <w:rsid w:val="00F06133"/>
    <w:rsid w:val="00F121A6"/>
    <w:rsid w:val="00F125CC"/>
    <w:rsid w:val="00F13364"/>
    <w:rsid w:val="00F1374C"/>
    <w:rsid w:val="00F16117"/>
    <w:rsid w:val="00F16B75"/>
    <w:rsid w:val="00F24387"/>
    <w:rsid w:val="00F24A55"/>
    <w:rsid w:val="00F26DAF"/>
    <w:rsid w:val="00F27DD3"/>
    <w:rsid w:val="00F30764"/>
    <w:rsid w:val="00F3191C"/>
    <w:rsid w:val="00F31DA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069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3D0D"/>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4BC6"/>
    <w:rsid w:val="00FE5A24"/>
    <w:rsid w:val="00FF09C5"/>
    <w:rsid w:val="00FF3C8A"/>
    <w:rsid w:val="00FF65EE"/>
    <w:rsid w:val="00FF7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466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4A7473"/>
    <w:rPr>
      <w:sz w:val="24"/>
      <w:szCs w:val="24"/>
    </w:rPr>
  </w:style>
  <w:style w:type="character" w:styleId="CommentReference">
    <w:name w:val="annotation reference"/>
    <w:basedOn w:val="DefaultParagraphFont"/>
    <w:rsid w:val="00FF7676"/>
    <w:rPr>
      <w:sz w:val="16"/>
      <w:szCs w:val="16"/>
    </w:rPr>
  </w:style>
  <w:style w:type="paragraph" w:styleId="CommentText">
    <w:name w:val="annotation text"/>
    <w:basedOn w:val="Normal"/>
    <w:link w:val="CommentTextChar"/>
    <w:rsid w:val="00FF7676"/>
    <w:pPr>
      <w:spacing w:line="240" w:lineRule="auto"/>
    </w:pPr>
    <w:rPr>
      <w:sz w:val="20"/>
      <w:szCs w:val="20"/>
    </w:rPr>
  </w:style>
  <w:style w:type="character" w:customStyle="1" w:styleId="CommentTextChar">
    <w:name w:val="Comment Text Char"/>
    <w:basedOn w:val="DefaultParagraphFont"/>
    <w:link w:val="CommentText"/>
    <w:rsid w:val="00FF7676"/>
  </w:style>
  <w:style w:type="paragraph" w:styleId="CommentSubject">
    <w:name w:val="annotation subject"/>
    <w:basedOn w:val="CommentText"/>
    <w:next w:val="CommentText"/>
    <w:link w:val="CommentSubjectChar"/>
    <w:rsid w:val="00FF7676"/>
    <w:rPr>
      <w:b/>
      <w:bCs/>
    </w:rPr>
  </w:style>
  <w:style w:type="character" w:customStyle="1" w:styleId="CommentSubjectChar">
    <w:name w:val="Comment Subject Char"/>
    <w:basedOn w:val="CommentTextChar"/>
    <w:link w:val="CommentSubject"/>
    <w:rsid w:val="00FF76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53FEC0D1C34B40838726410B2F530F"/>
        <w:category>
          <w:name w:val="General"/>
          <w:gallery w:val="placeholder"/>
        </w:category>
        <w:types>
          <w:type w:val="bbPlcHdr"/>
        </w:types>
        <w:behaviors>
          <w:behavior w:val="content"/>
        </w:behaviors>
        <w:guid w:val="{6167729B-8CC0-4AD7-994B-219EA1E13044}"/>
      </w:docPartPr>
      <w:docPartBody>
        <w:p w:rsidR="00374215" w:rsidRDefault="00374215">
          <w:pPr>
            <w:pStyle w:val="E053FEC0D1C34B40838726410B2F530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15"/>
    <w:rsid w:val="00374215"/>
    <w:rsid w:val="007D5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215"/>
    <w:rPr>
      <w:color w:val="808080"/>
    </w:rPr>
  </w:style>
  <w:style w:type="paragraph" w:customStyle="1" w:styleId="E053FEC0D1C34B40838726410B2F530F">
    <w:name w:val="E053FEC0D1C34B40838726410B2F53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C8719F-9471-4A01-B9A1-367054D70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1516</Words>
  <Characters>8308</Characters>
  <Application>Microsoft Office Word</Application>
  <DocSecurity>0</DocSecurity>
  <Lines>69</Lines>
  <Paragraphs>19</Paragraphs>
  <ScaleCrop>false</ScaleCrop>
  <Manager/>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2024-03-05T18:50:00Z</dcterms:created>
  <dcterms:modified xsi:type="dcterms:W3CDTF">2024-03-06T18:32:00Z</dcterms:modified>
</cp:coreProperties>
</file>